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5DE7" w:rsidRPr="00DF0CA1" w:rsidRDefault="008C5DE7" w:rsidP="008C5DE7">
      <w:pPr>
        <w:spacing w:after="0" w:line="240" w:lineRule="auto"/>
        <w:ind w:left="720"/>
        <w:jc w:val="center"/>
        <w:rPr>
          <w:rFonts w:ascii="Arial" w:eastAsia="Times New Roman" w:hAnsi="Arial" w:cs="Arial"/>
          <w:b/>
          <w:sz w:val="24"/>
          <w:szCs w:val="24"/>
          <w:lang w:eastAsia="ru-RU"/>
        </w:rPr>
      </w:pPr>
      <w:r w:rsidRPr="00DF0CA1">
        <w:rPr>
          <w:rFonts w:ascii="Arial" w:eastAsia="Times New Roman" w:hAnsi="Arial" w:cs="Arial"/>
          <w:b/>
          <w:sz w:val="24"/>
          <w:szCs w:val="24"/>
          <w:lang w:eastAsia="ru-RU"/>
        </w:rPr>
        <w:t xml:space="preserve">Linia de Credit a Proiectului „Livada Moldovei” </w:t>
      </w:r>
    </w:p>
    <w:p w:rsidR="008C5DE7" w:rsidRPr="00DF0CA1" w:rsidRDefault="008C5DE7" w:rsidP="008C5DE7">
      <w:pPr>
        <w:spacing w:before="100" w:beforeAutospacing="1" w:after="0" w:afterAutospacing="1" w:line="240" w:lineRule="auto"/>
        <w:ind w:left="360"/>
        <w:jc w:val="both"/>
        <w:rPr>
          <w:rFonts w:ascii="Arial" w:eastAsia="Times New Roman" w:hAnsi="Arial" w:cs="Arial"/>
          <w:sz w:val="20"/>
          <w:szCs w:val="20"/>
          <w:lang w:eastAsia="ru-RU"/>
        </w:rPr>
      </w:pPr>
      <w:r w:rsidRPr="00DF0CA1">
        <w:rPr>
          <w:rFonts w:ascii="Arial" w:eastAsia="Times New Roman" w:hAnsi="Arial" w:cs="Arial"/>
          <w:b/>
          <w:sz w:val="20"/>
          <w:szCs w:val="20"/>
          <w:lang w:eastAsia="ru-RU"/>
        </w:rPr>
        <w:t>Proiectul Investițional Livada Moldovei</w:t>
      </w:r>
      <w:r w:rsidRPr="00DF0CA1">
        <w:rPr>
          <w:rFonts w:ascii="Arial" w:eastAsia="Times New Roman" w:hAnsi="Arial" w:cs="Arial"/>
          <w:sz w:val="20"/>
          <w:szCs w:val="20"/>
          <w:lang w:eastAsia="ru-RU"/>
        </w:rPr>
        <w:t xml:space="preserve"> este finanțat din împrumutul </w:t>
      </w:r>
      <w:r w:rsidRPr="00DF0CA1">
        <w:rPr>
          <w:rFonts w:ascii="Arial" w:eastAsia="Times New Roman" w:hAnsi="Arial" w:cs="Arial"/>
          <w:b/>
          <w:sz w:val="20"/>
          <w:szCs w:val="20"/>
          <w:lang w:eastAsia="ru-RU"/>
        </w:rPr>
        <w:t>Băncii Europene de Investiții (BEI),</w:t>
      </w:r>
      <w:r w:rsidRPr="00DF0CA1">
        <w:rPr>
          <w:rFonts w:ascii="Arial" w:eastAsia="Times New Roman" w:hAnsi="Arial" w:cs="Arial"/>
          <w:sz w:val="20"/>
          <w:szCs w:val="20"/>
          <w:lang w:eastAsia="ru-RU"/>
        </w:rPr>
        <w:t xml:space="preserve"> acordat </w:t>
      </w:r>
      <w:r w:rsidRPr="00DF0CA1">
        <w:rPr>
          <w:rFonts w:ascii="Arial" w:eastAsia="Times New Roman" w:hAnsi="Arial" w:cs="Arial"/>
          <w:b/>
          <w:sz w:val="20"/>
          <w:szCs w:val="20"/>
          <w:lang w:eastAsia="ru-RU"/>
        </w:rPr>
        <w:t>Guvernului Republicii Moldova</w:t>
      </w:r>
      <w:r w:rsidRPr="00DF0CA1">
        <w:rPr>
          <w:rFonts w:ascii="Arial" w:eastAsia="Times New Roman" w:hAnsi="Arial" w:cs="Arial"/>
          <w:sz w:val="20"/>
          <w:szCs w:val="20"/>
          <w:lang w:eastAsia="ru-RU"/>
        </w:rPr>
        <w:t xml:space="preserve"> și are scopul de a </w:t>
      </w:r>
      <w:r w:rsidRPr="00DF0CA1">
        <w:rPr>
          <w:rFonts w:ascii="Arial" w:eastAsia="Calibri" w:hAnsi="Arial" w:cs="Arial"/>
          <w:sz w:val="20"/>
          <w:szCs w:val="20"/>
        </w:rPr>
        <w:t xml:space="preserve">consolida și dezvolta sectorul horticol din Moldova. </w:t>
      </w:r>
      <w:r w:rsidRPr="00DF0CA1">
        <w:rPr>
          <w:rFonts w:ascii="Arial" w:eastAsia="Times New Roman" w:hAnsi="Arial" w:cs="Arial"/>
          <w:sz w:val="20"/>
          <w:szCs w:val="20"/>
          <w:lang w:eastAsia="ru-RU"/>
        </w:rPr>
        <w:t xml:space="preserve"> </w:t>
      </w:r>
    </w:p>
    <w:p w:rsidR="008C5DE7" w:rsidRPr="00DF0CA1" w:rsidRDefault="008C5DE7" w:rsidP="008C5DE7">
      <w:pPr>
        <w:spacing w:after="0" w:line="240" w:lineRule="auto"/>
        <w:ind w:left="360"/>
        <w:jc w:val="both"/>
        <w:rPr>
          <w:rFonts w:ascii="Arial" w:eastAsia="Times New Roman" w:hAnsi="Arial" w:cs="Arial"/>
          <w:sz w:val="20"/>
          <w:szCs w:val="20"/>
          <w:lang w:eastAsia="ru-RU"/>
        </w:rPr>
      </w:pPr>
      <w:r w:rsidRPr="00DF0CA1">
        <w:rPr>
          <w:rFonts w:ascii="Arial" w:eastAsia="Times New Roman" w:hAnsi="Arial" w:cs="Arial"/>
          <w:sz w:val="20"/>
          <w:szCs w:val="20"/>
          <w:lang w:eastAsia="ru-RU"/>
        </w:rPr>
        <w:t xml:space="preserve">Suma totală a Împrumutului extern constituie </w:t>
      </w:r>
      <w:r w:rsidRPr="00DF0CA1">
        <w:rPr>
          <w:rFonts w:ascii="Arial" w:eastAsia="Times New Roman" w:hAnsi="Arial" w:cs="Arial"/>
          <w:b/>
          <w:sz w:val="20"/>
          <w:szCs w:val="20"/>
          <w:lang w:eastAsia="ru-RU"/>
        </w:rPr>
        <w:t>120.0 mil. EUR,</w:t>
      </w:r>
      <w:r w:rsidRPr="00DF0CA1">
        <w:rPr>
          <w:rFonts w:ascii="Arial" w:eastAsia="Times New Roman" w:hAnsi="Arial" w:cs="Arial"/>
          <w:sz w:val="20"/>
          <w:szCs w:val="20"/>
          <w:lang w:eastAsia="ru-RU"/>
        </w:rPr>
        <w:t xml:space="preserve"> inclusiv componenta Liniei de Credit de circa </w:t>
      </w:r>
      <w:r w:rsidRPr="00DF0CA1">
        <w:rPr>
          <w:rFonts w:ascii="Arial" w:eastAsia="Times New Roman" w:hAnsi="Arial" w:cs="Arial"/>
          <w:b/>
          <w:sz w:val="20"/>
          <w:szCs w:val="20"/>
          <w:lang w:eastAsia="ru-RU"/>
        </w:rPr>
        <w:t>108  mil. EUR</w:t>
      </w:r>
      <w:r w:rsidRPr="00DF0CA1">
        <w:rPr>
          <w:rFonts w:ascii="Arial" w:eastAsia="Times New Roman" w:hAnsi="Arial" w:cs="Arial"/>
          <w:sz w:val="20"/>
          <w:szCs w:val="20"/>
          <w:lang w:eastAsia="ru-RU"/>
        </w:rPr>
        <w:t xml:space="preserve">, care se </w:t>
      </w:r>
      <w:proofErr w:type="spellStart"/>
      <w:r w:rsidRPr="00DF0CA1">
        <w:rPr>
          <w:rFonts w:ascii="Arial" w:eastAsia="Times New Roman" w:hAnsi="Arial" w:cs="Arial"/>
          <w:sz w:val="20"/>
          <w:szCs w:val="20"/>
          <w:lang w:eastAsia="ru-RU"/>
        </w:rPr>
        <w:t>recreditează</w:t>
      </w:r>
      <w:proofErr w:type="spellEnd"/>
      <w:r w:rsidRPr="00DF0CA1">
        <w:rPr>
          <w:rFonts w:ascii="Arial" w:eastAsia="Times New Roman" w:hAnsi="Arial" w:cs="Arial"/>
          <w:sz w:val="20"/>
          <w:szCs w:val="20"/>
          <w:lang w:eastAsia="ru-RU"/>
        </w:rPr>
        <w:t xml:space="preserve"> întreprinderilor sectorului horticol,</w:t>
      </w:r>
      <w:r>
        <w:rPr>
          <w:rFonts w:ascii="Arial" w:eastAsia="Times New Roman" w:hAnsi="Arial" w:cs="Arial"/>
          <w:sz w:val="20"/>
          <w:szCs w:val="20"/>
          <w:lang w:eastAsia="ru-RU"/>
        </w:rPr>
        <w:t xml:space="preserve"> </w:t>
      </w:r>
      <w:r w:rsidRPr="00DF0CA1">
        <w:rPr>
          <w:rFonts w:ascii="Arial" w:eastAsia="Times New Roman" w:hAnsi="Arial" w:cs="Arial"/>
          <w:sz w:val="20"/>
          <w:szCs w:val="20"/>
          <w:lang w:eastAsia="ru-RU"/>
        </w:rPr>
        <w:t>vinicol și industriei conexe de către Ministerul Finanțelor prin intermediul Directoratului Liniei de Credit (</w:t>
      </w:r>
      <w:r>
        <w:rPr>
          <w:rFonts w:ascii="Arial" w:eastAsia="Times New Roman" w:hAnsi="Arial" w:cs="Arial"/>
          <w:sz w:val="20"/>
          <w:szCs w:val="20"/>
          <w:lang w:eastAsia="ru-RU"/>
        </w:rPr>
        <w:t>OGPAE</w:t>
      </w:r>
      <w:r w:rsidRPr="00DF0CA1">
        <w:rPr>
          <w:rFonts w:ascii="Arial" w:eastAsia="Times New Roman" w:hAnsi="Arial" w:cs="Arial"/>
          <w:sz w:val="20"/>
          <w:szCs w:val="20"/>
          <w:lang w:eastAsia="ru-RU"/>
        </w:rPr>
        <w:t xml:space="preserve">) și prin Instituțiile Financiare Participante (IFP) eligibile, care î-și  asumă integral toate riscurile legate de creditare. Data de închidere a Proiectului – </w:t>
      </w:r>
      <w:r>
        <w:rPr>
          <w:rFonts w:ascii="Arial" w:eastAsia="Times New Roman" w:hAnsi="Arial" w:cs="Arial"/>
          <w:sz w:val="20"/>
          <w:szCs w:val="20"/>
          <w:lang w:eastAsia="ru-RU"/>
        </w:rPr>
        <w:t>3</w:t>
      </w:r>
      <w:r w:rsidRPr="00DF0CA1">
        <w:rPr>
          <w:rFonts w:ascii="Arial" w:eastAsia="Times New Roman" w:hAnsi="Arial" w:cs="Arial"/>
          <w:sz w:val="20"/>
          <w:szCs w:val="20"/>
          <w:lang w:eastAsia="ru-RU"/>
        </w:rPr>
        <w:t xml:space="preserve">1 </w:t>
      </w:r>
      <w:r>
        <w:rPr>
          <w:rFonts w:ascii="Arial" w:eastAsia="Times New Roman" w:hAnsi="Arial" w:cs="Arial"/>
          <w:sz w:val="20"/>
          <w:szCs w:val="20"/>
          <w:lang w:eastAsia="ru-RU"/>
        </w:rPr>
        <w:t>Ianuarie</w:t>
      </w:r>
      <w:r w:rsidRPr="00DF0CA1">
        <w:rPr>
          <w:rFonts w:ascii="Arial" w:eastAsia="Times New Roman" w:hAnsi="Arial" w:cs="Arial"/>
          <w:sz w:val="20"/>
          <w:szCs w:val="20"/>
          <w:lang w:eastAsia="ru-RU"/>
        </w:rPr>
        <w:t>, 202</w:t>
      </w:r>
      <w:r>
        <w:rPr>
          <w:rFonts w:ascii="Arial" w:eastAsia="Times New Roman" w:hAnsi="Arial" w:cs="Arial"/>
          <w:sz w:val="20"/>
          <w:szCs w:val="20"/>
          <w:lang w:eastAsia="ru-RU"/>
        </w:rPr>
        <w:t xml:space="preserve">5, data limita de tragere a resurselor creditare de la BEI-27 mai 2023, cu extinderea termenului de </w:t>
      </w:r>
      <w:proofErr w:type="spellStart"/>
      <w:r>
        <w:rPr>
          <w:rFonts w:ascii="Arial" w:eastAsia="Times New Roman" w:hAnsi="Arial" w:cs="Arial"/>
          <w:sz w:val="20"/>
          <w:szCs w:val="20"/>
          <w:lang w:eastAsia="ru-RU"/>
        </w:rPr>
        <w:t>actiune</w:t>
      </w:r>
      <w:proofErr w:type="spellEnd"/>
      <w:r w:rsidRPr="00DF0CA1">
        <w:rPr>
          <w:rFonts w:ascii="Arial" w:eastAsia="Times New Roman" w:hAnsi="Arial" w:cs="Arial"/>
          <w:sz w:val="20"/>
          <w:szCs w:val="20"/>
          <w:lang w:eastAsia="ru-RU"/>
        </w:rPr>
        <w:t>.</w:t>
      </w:r>
    </w:p>
    <w:p w:rsidR="008C5DE7" w:rsidRPr="00DF0CA1" w:rsidRDefault="008C5DE7" w:rsidP="008C5DE7">
      <w:pPr>
        <w:spacing w:after="0" w:line="240" w:lineRule="auto"/>
        <w:ind w:left="360"/>
        <w:jc w:val="both"/>
        <w:rPr>
          <w:rFonts w:ascii="Arial" w:eastAsia="Times New Roman" w:hAnsi="Arial" w:cs="Arial"/>
          <w:sz w:val="20"/>
          <w:szCs w:val="20"/>
          <w:lang w:eastAsia="ru-RU"/>
        </w:rPr>
      </w:pPr>
    </w:p>
    <w:p w:rsidR="008C5DE7" w:rsidRPr="00DF0CA1" w:rsidRDefault="008C5DE7" w:rsidP="008C5DE7">
      <w:pPr>
        <w:spacing w:after="0" w:line="240" w:lineRule="auto"/>
        <w:ind w:left="360"/>
        <w:jc w:val="both"/>
        <w:rPr>
          <w:rFonts w:ascii="Arial" w:eastAsia="Times New Roman" w:hAnsi="Arial" w:cs="Arial"/>
          <w:b/>
          <w:sz w:val="20"/>
          <w:szCs w:val="20"/>
          <w:lang w:eastAsia="ru-RU"/>
        </w:rPr>
      </w:pPr>
      <w:r w:rsidRPr="00DF0CA1">
        <w:rPr>
          <w:rFonts w:ascii="Arial" w:eastAsia="Times New Roman" w:hAnsi="Arial" w:cs="Arial"/>
          <w:b/>
          <w:sz w:val="20"/>
          <w:szCs w:val="20"/>
          <w:lang w:eastAsia="ru-RU"/>
        </w:rPr>
        <w:t>Disponibile pentru debursare în cadrul Liniei de Credit</w:t>
      </w:r>
      <w:r>
        <w:rPr>
          <w:rFonts w:ascii="Arial" w:eastAsia="Times New Roman" w:hAnsi="Arial" w:cs="Arial"/>
          <w:b/>
          <w:sz w:val="20"/>
          <w:szCs w:val="20"/>
          <w:lang w:eastAsia="ru-RU"/>
        </w:rPr>
        <w:t xml:space="preserve"> Livada Moldovei-resurse directe</w:t>
      </w:r>
      <w:r w:rsidRPr="00DF0CA1">
        <w:rPr>
          <w:rFonts w:ascii="Arial" w:eastAsia="Times New Roman" w:hAnsi="Arial" w:cs="Arial"/>
          <w:b/>
          <w:sz w:val="20"/>
          <w:szCs w:val="20"/>
          <w:lang w:eastAsia="ru-RU"/>
        </w:rPr>
        <w:t xml:space="preserve">: echivalentul a </w:t>
      </w:r>
      <w:r>
        <w:rPr>
          <w:rFonts w:ascii="Arial" w:eastAsia="Times New Roman" w:hAnsi="Arial" w:cs="Arial"/>
          <w:b/>
          <w:sz w:val="20"/>
          <w:szCs w:val="20"/>
          <w:lang w:eastAsia="ru-RU"/>
        </w:rPr>
        <w:t>49</w:t>
      </w:r>
      <w:r w:rsidRPr="00DF0CA1">
        <w:rPr>
          <w:rFonts w:ascii="Arial" w:eastAsia="Times New Roman" w:hAnsi="Arial" w:cs="Arial"/>
          <w:b/>
          <w:sz w:val="20"/>
          <w:szCs w:val="20"/>
          <w:lang w:eastAsia="ru-RU"/>
        </w:rPr>
        <w:t>,</w:t>
      </w:r>
      <w:r>
        <w:rPr>
          <w:rFonts w:ascii="Arial" w:eastAsia="Times New Roman" w:hAnsi="Arial" w:cs="Arial"/>
          <w:b/>
          <w:sz w:val="20"/>
          <w:szCs w:val="20"/>
          <w:lang w:eastAsia="ru-RU"/>
        </w:rPr>
        <w:t>07</w:t>
      </w:r>
      <w:r w:rsidRPr="00DF0CA1">
        <w:rPr>
          <w:rFonts w:ascii="Arial" w:eastAsia="Times New Roman" w:hAnsi="Arial" w:cs="Arial"/>
          <w:b/>
          <w:sz w:val="20"/>
          <w:szCs w:val="20"/>
          <w:lang w:eastAsia="ru-RU"/>
        </w:rPr>
        <w:t xml:space="preserve"> mil. EUR </w:t>
      </w:r>
    </w:p>
    <w:p w:rsidR="008C5DE7" w:rsidRPr="00DF0CA1" w:rsidRDefault="008C5DE7" w:rsidP="008C5DE7">
      <w:pPr>
        <w:spacing w:after="0" w:line="240" w:lineRule="auto"/>
        <w:ind w:left="360"/>
        <w:jc w:val="both"/>
        <w:rPr>
          <w:rFonts w:ascii="Arial" w:eastAsia="Times New Roman" w:hAnsi="Arial" w:cs="Arial"/>
          <w:sz w:val="20"/>
          <w:szCs w:val="20"/>
          <w:lang w:eastAsia="ru-RU"/>
        </w:rPr>
      </w:pPr>
    </w:p>
    <w:p w:rsidR="008C5DE7" w:rsidRPr="00DF0CA1" w:rsidRDefault="008C5DE7" w:rsidP="008C5DE7">
      <w:pPr>
        <w:spacing w:after="0" w:line="240" w:lineRule="auto"/>
        <w:ind w:left="360"/>
        <w:jc w:val="both"/>
        <w:rPr>
          <w:rFonts w:ascii="Arial" w:eastAsia="Times New Roman" w:hAnsi="Arial" w:cs="Arial"/>
          <w:sz w:val="20"/>
          <w:szCs w:val="20"/>
          <w:lang w:eastAsia="ru-RU"/>
        </w:rPr>
      </w:pPr>
      <w:r w:rsidRPr="00DF0CA1">
        <w:rPr>
          <w:rFonts w:ascii="Arial" w:eastAsia="Times New Roman" w:hAnsi="Arial" w:cs="Arial"/>
          <w:sz w:val="20"/>
          <w:szCs w:val="20"/>
          <w:lang w:eastAsia="ru-RU"/>
        </w:rPr>
        <w:t>IFP intermediare, cu care Ministerul Finanțelor are semnate Acorduri de Recreditare:</w:t>
      </w:r>
    </w:p>
    <w:p w:rsidR="008C5DE7" w:rsidRPr="00DF0CA1" w:rsidRDefault="008C5DE7" w:rsidP="008C5DE7">
      <w:pPr>
        <w:spacing w:after="0" w:line="240" w:lineRule="auto"/>
        <w:ind w:left="360"/>
        <w:jc w:val="both"/>
        <w:rPr>
          <w:rFonts w:ascii="Arial" w:eastAsia="Times New Roman" w:hAnsi="Arial" w:cs="Arial"/>
          <w:sz w:val="20"/>
          <w:szCs w:val="20"/>
          <w:lang w:eastAsia="ru-RU"/>
        </w:rPr>
      </w:pPr>
      <w:r w:rsidRPr="00DF0CA1">
        <w:rPr>
          <w:rFonts w:ascii="Arial" w:eastAsia="Times New Roman" w:hAnsi="Arial" w:cs="Arial"/>
          <w:sz w:val="20"/>
          <w:szCs w:val="20"/>
          <w:lang w:eastAsia="ru-RU"/>
        </w:rPr>
        <w:t xml:space="preserve">- OTP </w:t>
      </w:r>
      <w:r>
        <w:rPr>
          <w:rFonts w:ascii="Arial" w:eastAsia="Times New Roman" w:hAnsi="Arial" w:cs="Arial"/>
          <w:sz w:val="20"/>
          <w:szCs w:val="20"/>
          <w:lang w:eastAsia="ru-RU"/>
        </w:rPr>
        <w:t>Bank</w:t>
      </w:r>
      <w:r w:rsidRPr="00DF0CA1">
        <w:rPr>
          <w:rFonts w:ascii="Arial" w:eastAsia="Times New Roman" w:hAnsi="Arial" w:cs="Arial"/>
          <w:sz w:val="20"/>
          <w:szCs w:val="20"/>
          <w:lang w:eastAsia="ru-RU"/>
        </w:rPr>
        <w:t xml:space="preserve"> S.A. (tel.022 812-548), </w:t>
      </w:r>
    </w:p>
    <w:p w:rsidR="008C5DE7" w:rsidRPr="00DF0CA1" w:rsidRDefault="008C5DE7" w:rsidP="008C5DE7">
      <w:pPr>
        <w:spacing w:after="0" w:line="240" w:lineRule="auto"/>
        <w:ind w:left="360"/>
        <w:jc w:val="both"/>
        <w:rPr>
          <w:rFonts w:ascii="Arial" w:eastAsia="Times New Roman" w:hAnsi="Arial" w:cs="Arial"/>
          <w:sz w:val="20"/>
          <w:szCs w:val="20"/>
          <w:lang w:eastAsia="ru-RU"/>
        </w:rPr>
      </w:pPr>
      <w:r w:rsidRPr="00DF0CA1">
        <w:rPr>
          <w:rFonts w:ascii="Arial" w:eastAsia="Times New Roman" w:hAnsi="Arial" w:cs="Arial"/>
          <w:sz w:val="20"/>
          <w:szCs w:val="20"/>
          <w:lang w:eastAsia="ru-RU"/>
        </w:rPr>
        <w:t>- BC “</w:t>
      </w:r>
      <w:proofErr w:type="spellStart"/>
      <w:r w:rsidRPr="00DF0CA1">
        <w:rPr>
          <w:rFonts w:ascii="Arial" w:eastAsia="Times New Roman" w:hAnsi="Arial" w:cs="Arial"/>
          <w:sz w:val="20"/>
          <w:szCs w:val="20"/>
          <w:lang w:eastAsia="ru-RU"/>
        </w:rPr>
        <w:t>ProCredit</w:t>
      </w:r>
      <w:proofErr w:type="spellEnd"/>
      <w:r w:rsidRPr="00DF0CA1">
        <w:rPr>
          <w:rFonts w:ascii="Arial" w:eastAsia="Times New Roman" w:hAnsi="Arial" w:cs="Arial"/>
          <w:sz w:val="20"/>
          <w:szCs w:val="20"/>
          <w:lang w:eastAsia="ru-RU"/>
        </w:rPr>
        <w:t xml:space="preserve"> Bank” S.A. (tel. 022 782-498), </w:t>
      </w:r>
    </w:p>
    <w:p w:rsidR="008C5DE7" w:rsidRPr="00DF0CA1" w:rsidRDefault="008C5DE7" w:rsidP="008C5DE7">
      <w:pPr>
        <w:spacing w:after="0" w:line="240" w:lineRule="auto"/>
        <w:ind w:left="360"/>
        <w:jc w:val="both"/>
        <w:rPr>
          <w:rFonts w:ascii="Arial" w:eastAsia="Times New Roman" w:hAnsi="Arial" w:cs="Arial"/>
          <w:sz w:val="20"/>
          <w:szCs w:val="20"/>
          <w:lang w:eastAsia="ru-RU"/>
        </w:rPr>
      </w:pPr>
      <w:r w:rsidRPr="00DF0CA1">
        <w:rPr>
          <w:rFonts w:ascii="Arial" w:eastAsia="Times New Roman" w:hAnsi="Arial" w:cs="Arial"/>
          <w:sz w:val="20"/>
          <w:szCs w:val="20"/>
          <w:lang w:eastAsia="ru-RU"/>
        </w:rPr>
        <w:t xml:space="preserve">- BC “ </w:t>
      </w:r>
      <w:proofErr w:type="spellStart"/>
      <w:r w:rsidRPr="00DF0CA1">
        <w:rPr>
          <w:rFonts w:ascii="Arial" w:eastAsia="Times New Roman" w:hAnsi="Arial" w:cs="Arial"/>
          <w:sz w:val="20"/>
          <w:szCs w:val="20"/>
          <w:lang w:eastAsia="ru-RU"/>
        </w:rPr>
        <w:t>Comertbank”S.A</w:t>
      </w:r>
      <w:proofErr w:type="spellEnd"/>
      <w:r w:rsidRPr="00DF0CA1">
        <w:rPr>
          <w:rFonts w:ascii="Arial" w:eastAsia="Times New Roman" w:hAnsi="Arial" w:cs="Arial"/>
          <w:sz w:val="20"/>
          <w:szCs w:val="20"/>
          <w:lang w:eastAsia="ru-RU"/>
        </w:rPr>
        <w:t xml:space="preserve">. (tel. 022 839-748), </w:t>
      </w:r>
    </w:p>
    <w:p w:rsidR="008C5DE7" w:rsidRPr="00DF0CA1" w:rsidRDefault="008C5DE7" w:rsidP="008C5DE7">
      <w:pPr>
        <w:spacing w:after="0" w:line="240" w:lineRule="auto"/>
        <w:ind w:left="360"/>
        <w:jc w:val="both"/>
        <w:rPr>
          <w:rFonts w:ascii="Arial" w:eastAsia="Times New Roman" w:hAnsi="Arial" w:cs="Arial"/>
          <w:sz w:val="20"/>
          <w:szCs w:val="20"/>
          <w:lang w:eastAsia="ru-RU"/>
        </w:rPr>
      </w:pPr>
      <w:r w:rsidRPr="00DF0CA1">
        <w:rPr>
          <w:rFonts w:ascii="Arial" w:eastAsia="Times New Roman" w:hAnsi="Arial" w:cs="Arial"/>
          <w:sz w:val="20"/>
          <w:szCs w:val="20"/>
          <w:lang w:eastAsia="ru-RU"/>
        </w:rPr>
        <w:t xml:space="preserve">- BC “ </w:t>
      </w:r>
      <w:proofErr w:type="spellStart"/>
      <w:r w:rsidRPr="00DF0CA1">
        <w:rPr>
          <w:rFonts w:ascii="Arial" w:eastAsia="Times New Roman" w:hAnsi="Arial" w:cs="Arial"/>
          <w:sz w:val="20"/>
          <w:szCs w:val="20"/>
          <w:lang w:eastAsia="ru-RU"/>
        </w:rPr>
        <w:t>Energbank”S.A</w:t>
      </w:r>
      <w:proofErr w:type="spellEnd"/>
      <w:r w:rsidRPr="00DF0CA1">
        <w:rPr>
          <w:rFonts w:ascii="Arial" w:eastAsia="Times New Roman" w:hAnsi="Arial" w:cs="Arial"/>
          <w:sz w:val="20"/>
          <w:szCs w:val="20"/>
          <w:lang w:eastAsia="ru-RU"/>
        </w:rPr>
        <w:t>. (tel. 022 858-056),</w:t>
      </w:r>
    </w:p>
    <w:p w:rsidR="008C5DE7" w:rsidRPr="00DF0CA1" w:rsidRDefault="008C5DE7" w:rsidP="008C5DE7">
      <w:pPr>
        <w:keepNext/>
        <w:spacing w:after="0" w:line="276" w:lineRule="auto"/>
        <w:ind w:left="360"/>
        <w:jc w:val="both"/>
        <w:outlineLvl w:val="3"/>
        <w:rPr>
          <w:rFonts w:ascii="Arial" w:eastAsia="Times New Roman" w:hAnsi="Arial" w:cs="Arial"/>
          <w:bCs/>
          <w:sz w:val="20"/>
          <w:szCs w:val="20"/>
          <w:lang w:eastAsia="ru-RU"/>
        </w:rPr>
      </w:pPr>
      <w:r w:rsidRPr="00DF0CA1">
        <w:rPr>
          <w:rFonts w:ascii="Arial" w:eastAsia="Times New Roman" w:hAnsi="Arial" w:cs="Arial"/>
          <w:bCs/>
          <w:sz w:val="20"/>
          <w:szCs w:val="20"/>
          <w:lang w:eastAsia="ru-RU"/>
        </w:rPr>
        <w:t xml:space="preserve">- BCR </w:t>
      </w:r>
      <w:proofErr w:type="spellStart"/>
      <w:r w:rsidRPr="00DF0CA1">
        <w:rPr>
          <w:rFonts w:ascii="Arial" w:eastAsia="Times New Roman" w:hAnsi="Arial" w:cs="Arial"/>
          <w:bCs/>
          <w:sz w:val="20"/>
          <w:szCs w:val="20"/>
          <w:lang w:eastAsia="ru-RU"/>
        </w:rPr>
        <w:t>Chisinau</w:t>
      </w:r>
      <w:proofErr w:type="spellEnd"/>
      <w:r w:rsidRPr="00DF0CA1">
        <w:rPr>
          <w:rFonts w:ascii="Arial" w:eastAsia="Times New Roman" w:hAnsi="Arial" w:cs="Arial"/>
          <w:bCs/>
          <w:sz w:val="20"/>
          <w:szCs w:val="20"/>
          <w:lang w:eastAsia="ru-RU"/>
        </w:rPr>
        <w:t xml:space="preserve"> S.A (tel. 022 852-002),</w:t>
      </w:r>
    </w:p>
    <w:p w:rsidR="008C5DE7" w:rsidRPr="00DF0CA1" w:rsidRDefault="008C5DE7" w:rsidP="008C5DE7">
      <w:pPr>
        <w:spacing w:after="0" w:line="240" w:lineRule="auto"/>
        <w:ind w:left="284"/>
        <w:jc w:val="both"/>
        <w:rPr>
          <w:rFonts w:ascii="Arial" w:eastAsia="Times New Roman" w:hAnsi="Arial" w:cs="Arial"/>
          <w:sz w:val="20"/>
          <w:szCs w:val="20"/>
          <w:lang w:eastAsia="ru-RU"/>
        </w:rPr>
      </w:pPr>
      <w:r w:rsidRPr="00DF0CA1">
        <w:rPr>
          <w:rFonts w:ascii="Calibri" w:eastAsia="Calibri" w:hAnsi="Calibri" w:cs="Times New Roman"/>
          <w:lang w:eastAsia="ru-RU"/>
        </w:rPr>
        <w:t xml:space="preserve">  - </w:t>
      </w:r>
      <w:r w:rsidRPr="00DF0CA1">
        <w:rPr>
          <w:rFonts w:ascii="Arial" w:eastAsia="Times New Roman" w:hAnsi="Arial" w:cs="Arial"/>
          <w:sz w:val="20"/>
          <w:szCs w:val="20"/>
          <w:lang w:eastAsia="ru-RU"/>
        </w:rPr>
        <w:t>BC „</w:t>
      </w:r>
      <w:r>
        <w:rPr>
          <w:rFonts w:ascii="Arial" w:eastAsia="Times New Roman" w:hAnsi="Arial" w:cs="Arial"/>
          <w:sz w:val="20"/>
          <w:szCs w:val="20"/>
          <w:lang w:eastAsia="ru-RU"/>
        </w:rPr>
        <w:t>MAIB</w:t>
      </w:r>
      <w:r w:rsidRPr="00DF0CA1">
        <w:rPr>
          <w:rFonts w:ascii="Arial" w:eastAsia="Times New Roman" w:hAnsi="Arial" w:cs="Arial"/>
          <w:sz w:val="20"/>
          <w:szCs w:val="20"/>
          <w:lang w:eastAsia="ru-RU"/>
        </w:rPr>
        <w:t>” SA (tel. 022 303-277),</w:t>
      </w:r>
    </w:p>
    <w:p w:rsidR="008C5DE7" w:rsidRDefault="008C5DE7" w:rsidP="008C5DE7">
      <w:pPr>
        <w:spacing w:after="0" w:line="240" w:lineRule="auto"/>
        <w:ind w:left="360"/>
        <w:jc w:val="both"/>
        <w:rPr>
          <w:rFonts w:ascii="Arial" w:eastAsia="Times New Roman" w:hAnsi="Arial" w:cs="Arial"/>
          <w:sz w:val="20"/>
          <w:szCs w:val="20"/>
          <w:lang w:eastAsia="ru-RU"/>
        </w:rPr>
      </w:pPr>
      <w:r w:rsidRPr="00DF0CA1">
        <w:rPr>
          <w:rFonts w:ascii="Arial" w:eastAsia="Times New Roman" w:hAnsi="Arial" w:cs="Arial"/>
          <w:sz w:val="20"/>
          <w:szCs w:val="20"/>
          <w:lang w:eastAsia="ru-RU"/>
        </w:rPr>
        <w:t xml:space="preserve"> - BC “ </w:t>
      </w:r>
      <w:proofErr w:type="spellStart"/>
      <w:r w:rsidRPr="00DF0CA1">
        <w:rPr>
          <w:rFonts w:ascii="Arial" w:eastAsia="Times New Roman" w:hAnsi="Arial" w:cs="Arial"/>
          <w:sz w:val="20"/>
          <w:szCs w:val="20"/>
          <w:lang w:eastAsia="ru-RU"/>
        </w:rPr>
        <w:t>Victoriabank</w:t>
      </w:r>
      <w:proofErr w:type="spellEnd"/>
      <w:r w:rsidRPr="00DF0CA1">
        <w:rPr>
          <w:rFonts w:ascii="Arial" w:eastAsia="Times New Roman" w:hAnsi="Arial" w:cs="Arial"/>
          <w:sz w:val="20"/>
          <w:szCs w:val="20"/>
          <w:lang w:eastAsia="ru-RU"/>
        </w:rPr>
        <w:t>” S.A. (tel. 022 576-419)</w:t>
      </w:r>
      <w:r>
        <w:rPr>
          <w:rFonts w:ascii="Arial" w:eastAsia="Times New Roman" w:hAnsi="Arial" w:cs="Arial"/>
          <w:sz w:val="20"/>
          <w:szCs w:val="20"/>
          <w:lang w:eastAsia="ru-RU"/>
        </w:rPr>
        <w:t>,</w:t>
      </w:r>
    </w:p>
    <w:p w:rsidR="008C5DE7" w:rsidRDefault="008C5DE7" w:rsidP="008C5DE7">
      <w:pPr>
        <w:spacing w:after="0" w:line="240" w:lineRule="auto"/>
        <w:ind w:left="360"/>
        <w:jc w:val="both"/>
        <w:rPr>
          <w:rFonts w:ascii="Arial" w:eastAsia="Times New Roman" w:hAnsi="Arial" w:cs="Arial"/>
          <w:sz w:val="20"/>
          <w:szCs w:val="20"/>
          <w:lang w:eastAsia="ru-RU"/>
        </w:rPr>
      </w:pPr>
      <w:r>
        <w:rPr>
          <w:rFonts w:ascii="Arial" w:eastAsia="Times New Roman" w:hAnsi="Arial" w:cs="Arial"/>
          <w:sz w:val="20"/>
          <w:szCs w:val="20"/>
          <w:lang w:eastAsia="ru-RU"/>
        </w:rPr>
        <w:t>- BC „</w:t>
      </w:r>
      <w:proofErr w:type="spellStart"/>
      <w:r>
        <w:rPr>
          <w:rFonts w:ascii="Arial" w:eastAsia="Times New Roman" w:hAnsi="Arial" w:cs="Arial"/>
          <w:sz w:val="20"/>
          <w:szCs w:val="20"/>
          <w:lang w:eastAsia="ru-RU"/>
        </w:rPr>
        <w:t>Moldindconbank</w:t>
      </w:r>
      <w:proofErr w:type="spellEnd"/>
      <w:r>
        <w:rPr>
          <w:rFonts w:ascii="Arial" w:eastAsia="Times New Roman" w:hAnsi="Arial" w:cs="Arial"/>
          <w:sz w:val="20"/>
          <w:szCs w:val="20"/>
          <w:lang w:eastAsia="ru-RU"/>
        </w:rPr>
        <w:t xml:space="preserve">” SA </w:t>
      </w:r>
      <w:bookmarkStart w:id="0" w:name="_Hlk110503059"/>
      <w:r>
        <w:rPr>
          <w:rFonts w:ascii="Arial" w:eastAsia="Times New Roman" w:hAnsi="Arial" w:cs="Arial"/>
          <w:sz w:val="20"/>
          <w:szCs w:val="20"/>
          <w:lang w:eastAsia="ru-RU"/>
        </w:rPr>
        <w:t>(tel 022 576 839)</w:t>
      </w:r>
      <w:bookmarkEnd w:id="0"/>
      <w:r>
        <w:rPr>
          <w:rFonts w:ascii="Arial" w:eastAsia="Times New Roman" w:hAnsi="Arial" w:cs="Arial"/>
          <w:sz w:val="20"/>
          <w:szCs w:val="20"/>
          <w:lang w:eastAsia="ru-RU"/>
        </w:rPr>
        <w:t>,</w:t>
      </w:r>
    </w:p>
    <w:p w:rsidR="008C5DE7" w:rsidRPr="00DA5649" w:rsidRDefault="008C5DE7" w:rsidP="008C5DE7">
      <w:pPr>
        <w:spacing w:after="0" w:line="240" w:lineRule="auto"/>
        <w:ind w:left="360"/>
        <w:jc w:val="both"/>
        <w:rPr>
          <w:rFonts w:ascii="Arial" w:eastAsia="Times New Roman" w:hAnsi="Arial" w:cs="Arial"/>
          <w:sz w:val="20"/>
          <w:szCs w:val="20"/>
          <w:lang w:val="en-US" w:eastAsia="ru-RU"/>
        </w:rPr>
      </w:pPr>
      <w:r>
        <w:rPr>
          <w:rFonts w:ascii="Arial" w:eastAsia="Times New Roman" w:hAnsi="Arial" w:cs="Arial"/>
          <w:sz w:val="20"/>
          <w:szCs w:val="20"/>
          <w:lang w:eastAsia="ru-RU"/>
        </w:rPr>
        <w:t>- BC „</w:t>
      </w:r>
      <w:proofErr w:type="spellStart"/>
      <w:r>
        <w:rPr>
          <w:rFonts w:ascii="Arial" w:eastAsia="Times New Roman" w:hAnsi="Arial" w:cs="Arial"/>
          <w:sz w:val="20"/>
          <w:szCs w:val="20"/>
          <w:lang w:eastAsia="ru-RU"/>
        </w:rPr>
        <w:t>FinComBank</w:t>
      </w:r>
      <w:proofErr w:type="spellEnd"/>
      <w:r>
        <w:rPr>
          <w:rFonts w:ascii="Arial" w:eastAsia="Times New Roman" w:hAnsi="Arial" w:cs="Arial"/>
          <w:sz w:val="20"/>
          <w:szCs w:val="20"/>
          <w:lang w:eastAsia="ru-RU"/>
        </w:rPr>
        <w:t>” SA (tel 022 269 816)</w:t>
      </w:r>
      <w:r w:rsidRPr="00DF0CA1">
        <w:rPr>
          <w:rFonts w:ascii="Arial" w:eastAsia="Times New Roman" w:hAnsi="Arial" w:cs="Arial"/>
          <w:sz w:val="20"/>
          <w:szCs w:val="20"/>
          <w:lang w:eastAsia="ru-RU"/>
        </w:rPr>
        <w:t>.</w:t>
      </w:r>
    </w:p>
    <w:p w:rsidR="008C5DE7" w:rsidRPr="00DF0CA1" w:rsidRDefault="008C5DE7" w:rsidP="008C5DE7">
      <w:pPr>
        <w:spacing w:after="0" w:line="240" w:lineRule="auto"/>
        <w:ind w:left="360"/>
        <w:jc w:val="both"/>
        <w:rPr>
          <w:rFonts w:ascii="Arial" w:eastAsia="Times New Roman" w:hAnsi="Arial" w:cs="Arial"/>
          <w:sz w:val="20"/>
          <w:szCs w:val="20"/>
          <w:lang w:eastAsia="ru-RU"/>
        </w:rPr>
      </w:pPr>
    </w:p>
    <w:p w:rsidR="008C5DE7" w:rsidRPr="00DF0CA1" w:rsidRDefault="008C5DE7" w:rsidP="008C5DE7">
      <w:pPr>
        <w:keepNext/>
        <w:spacing w:after="0" w:line="276" w:lineRule="auto"/>
        <w:ind w:left="360"/>
        <w:jc w:val="both"/>
        <w:outlineLvl w:val="3"/>
        <w:rPr>
          <w:rFonts w:ascii="Arial" w:eastAsia="Times New Roman" w:hAnsi="Arial" w:cs="Arial"/>
          <w:sz w:val="20"/>
          <w:szCs w:val="20"/>
          <w:lang w:eastAsia="ru-RU"/>
        </w:rPr>
      </w:pPr>
      <w:r w:rsidRPr="00DF0CA1">
        <w:rPr>
          <w:rFonts w:ascii="Arial" w:eastAsia="Times New Roman" w:hAnsi="Arial" w:cs="Arial"/>
          <w:bCs/>
          <w:sz w:val="20"/>
          <w:szCs w:val="20"/>
          <w:lang w:eastAsia="ru-RU"/>
        </w:rPr>
        <w:t>Promotorul Proiectului -Unitatea de Implementare a Proiectului în cadrul Ministerului Agriculturii (</w:t>
      </w:r>
      <w:r w:rsidRPr="00DF0CA1">
        <w:rPr>
          <w:rFonts w:ascii="Arial" w:eastAsia="Times New Roman" w:hAnsi="Arial" w:cs="Arial"/>
          <w:bCs/>
          <w:sz w:val="20"/>
          <w:szCs w:val="20"/>
        </w:rPr>
        <w:t>UCIMPRSVV, t</w:t>
      </w:r>
      <w:r w:rsidRPr="00DF0CA1">
        <w:rPr>
          <w:rFonts w:ascii="Arial" w:eastAsia="Times New Roman" w:hAnsi="Arial" w:cs="Arial"/>
          <w:bCs/>
          <w:sz w:val="20"/>
          <w:szCs w:val="20"/>
          <w:lang w:eastAsia="ru-RU"/>
        </w:rPr>
        <w:t>el. +373 22 260903,</w:t>
      </w:r>
      <w:r>
        <w:rPr>
          <w:rFonts w:ascii="Arial" w:eastAsia="Times New Roman" w:hAnsi="Arial" w:cs="Arial"/>
          <w:bCs/>
          <w:sz w:val="20"/>
          <w:szCs w:val="20"/>
          <w:lang w:eastAsia="ru-RU"/>
        </w:rPr>
        <w:t>260905</w:t>
      </w:r>
      <w:r w:rsidRPr="00DF0CA1">
        <w:rPr>
          <w:rFonts w:ascii="Arial" w:eastAsia="Times New Roman" w:hAnsi="Arial" w:cs="Arial"/>
          <w:bCs/>
          <w:sz w:val="20"/>
          <w:szCs w:val="20"/>
          <w:lang w:eastAsia="ru-RU"/>
        </w:rPr>
        <w:t xml:space="preserve"> </w:t>
      </w:r>
      <w:hyperlink r:id="rId5" w:history="1">
        <w:r w:rsidRPr="00DF0CA1">
          <w:rPr>
            <w:rFonts w:ascii="Arial" w:eastAsia="Times New Roman" w:hAnsi="Arial" w:cs="Arial"/>
            <w:bCs/>
            <w:sz w:val="20"/>
            <w:szCs w:val="20"/>
            <w:u w:val="single"/>
          </w:rPr>
          <w:t>office@winemoldova.md</w:t>
        </w:r>
      </w:hyperlink>
      <w:r w:rsidRPr="00DF0CA1">
        <w:rPr>
          <w:rFonts w:ascii="Arial" w:eastAsia="Times New Roman" w:hAnsi="Arial" w:cs="Arial"/>
          <w:sz w:val="20"/>
          <w:szCs w:val="20"/>
          <w:lang w:eastAsia="ru-RU"/>
        </w:rPr>
        <w:t xml:space="preserve">). </w:t>
      </w:r>
    </w:p>
    <w:p w:rsidR="008C5DE7" w:rsidRPr="00DF0CA1" w:rsidRDefault="008C5DE7" w:rsidP="008C5DE7">
      <w:pPr>
        <w:spacing w:after="0" w:line="240" w:lineRule="auto"/>
        <w:ind w:left="360"/>
        <w:jc w:val="both"/>
        <w:rPr>
          <w:rFonts w:ascii="Arial" w:eastAsia="Times New Roman" w:hAnsi="Arial" w:cs="Arial"/>
          <w:sz w:val="20"/>
          <w:szCs w:val="20"/>
          <w:lang w:eastAsia="ru-RU"/>
        </w:rPr>
      </w:pPr>
    </w:p>
    <w:p w:rsidR="008C5DE7" w:rsidRPr="00DF0CA1" w:rsidRDefault="008C5DE7" w:rsidP="008C5DE7">
      <w:pPr>
        <w:spacing w:after="0" w:line="240" w:lineRule="auto"/>
        <w:ind w:left="163"/>
        <w:rPr>
          <w:rFonts w:ascii="Arial" w:eastAsia="Times New Roman" w:hAnsi="Arial" w:cs="Arial"/>
          <w:sz w:val="20"/>
          <w:szCs w:val="20"/>
          <w:lang w:eastAsia="ru-RU"/>
        </w:rPr>
      </w:pPr>
      <w:r w:rsidRPr="00DF0CA1">
        <w:rPr>
          <w:rFonts w:ascii="Arial" w:eastAsia="Times New Roman" w:hAnsi="Arial" w:cs="Arial"/>
          <w:sz w:val="20"/>
          <w:szCs w:val="20"/>
          <w:lang w:eastAsia="ru-RU"/>
        </w:rPr>
        <w:t>În cadrul Liniei de Credit</w:t>
      </w:r>
      <w:r>
        <w:rPr>
          <w:rFonts w:ascii="Arial" w:eastAsia="Times New Roman" w:hAnsi="Arial" w:cs="Arial"/>
          <w:sz w:val="20"/>
          <w:szCs w:val="20"/>
          <w:lang w:eastAsia="ru-RU"/>
        </w:rPr>
        <w:t xml:space="preserve"> </w:t>
      </w:r>
      <w:r w:rsidRPr="00540C69">
        <w:rPr>
          <w:rFonts w:ascii="Arial" w:eastAsia="Times New Roman" w:hAnsi="Arial" w:cs="Arial"/>
          <w:sz w:val="20"/>
          <w:szCs w:val="20"/>
          <w:u w:val="single"/>
          <w:lang w:eastAsia="ru-RU"/>
        </w:rPr>
        <w:t>Livada Moldovei-resurse directe</w:t>
      </w:r>
      <w:r w:rsidRPr="00DF0CA1">
        <w:rPr>
          <w:rFonts w:ascii="Arial" w:eastAsia="Times New Roman" w:hAnsi="Arial" w:cs="Arial"/>
          <w:sz w:val="20"/>
          <w:szCs w:val="20"/>
          <w:lang w:eastAsia="ru-RU"/>
        </w:rPr>
        <w:t xml:space="preserve"> </w:t>
      </w:r>
      <w:r>
        <w:rPr>
          <w:rFonts w:ascii="Arial" w:eastAsia="Times New Roman" w:hAnsi="Arial" w:cs="Arial"/>
          <w:sz w:val="20"/>
          <w:szCs w:val="20"/>
          <w:lang w:eastAsia="ru-RU"/>
        </w:rPr>
        <w:t xml:space="preserve">la 30.06.2022 </w:t>
      </w:r>
      <w:r w:rsidRPr="00DF0CA1">
        <w:rPr>
          <w:rFonts w:ascii="Arial" w:eastAsia="Times New Roman" w:hAnsi="Arial" w:cs="Arial"/>
          <w:sz w:val="20"/>
          <w:szCs w:val="20"/>
          <w:lang w:eastAsia="ru-RU"/>
        </w:rPr>
        <w:t xml:space="preserve">sunt </w:t>
      </w:r>
      <w:r w:rsidRPr="00DF0CA1">
        <w:rPr>
          <w:rFonts w:ascii="Arial" w:eastAsia="Times New Roman" w:hAnsi="Arial" w:cs="Arial"/>
          <w:b/>
          <w:sz w:val="20"/>
          <w:szCs w:val="20"/>
          <w:lang w:eastAsia="ru-RU"/>
        </w:rPr>
        <w:t>debursate</w:t>
      </w:r>
      <w:r w:rsidRPr="00DF0CA1">
        <w:rPr>
          <w:rFonts w:ascii="Arial" w:eastAsia="Times New Roman" w:hAnsi="Arial" w:cs="Arial"/>
          <w:sz w:val="20"/>
          <w:szCs w:val="20"/>
          <w:lang w:eastAsia="ru-RU"/>
        </w:rPr>
        <w:t xml:space="preserve"> fonduri pentru finanțarea prin intermediul IFP a </w:t>
      </w:r>
      <w:r>
        <w:rPr>
          <w:rFonts w:ascii="Arial" w:eastAsia="Times New Roman" w:hAnsi="Arial" w:cs="Arial"/>
          <w:b/>
          <w:sz w:val="20"/>
          <w:szCs w:val="20"/>
          <w:lang w:eastAsia="ru-RU"/>
        </w:rPr>
        <w:t>368</w:t>
      </w:r>
      <w:r w:rsidRPr="00DF0CA1">
        <w:rPr>
          <w:rFonts w:ascii="Arial" w:eastAsia="Times New Roman" w:hAnsi="Arial" w:cs="Arial"/>
          <w:b/>
          <w:sz w:val="20"/>
          <w:szCs w:val="20"/>
          <w:lang w:eastAsia="ru-RU"/>
        </w:rPr>
        <w:t xml:space="preserve"> sub-proiecte, i</w:t>
      </w:r>
      <w:r w:rsidRPr="00DF0CA1">
        <w:rPr>
          <w:rFonts w:ascii="Arial" w:eastAsia="Times New Roman" w:hAnsi="Arial" w:cs="Arial"/>
          <w:sz w:val="20"/>
          <w:szCs w:val="20"/>
          <w:lang w:eastAsia="ru-RU"/>
        </w:rPr>
        <w:t>nclusiv</w:t>
      </w:r>
      <w:r w:rsidRPr="00DF0CA1">
        <w:rPr>
          <w:rFonts w:ascii="Arial" w:eastAsia="Times New Roman" w:hAnsi="Arial" w:cs="Arial"/>
          <w:b/>
          <w:sz w:val="20"/>
          <w:szCs w:val="20"/>
          <w:lang w:eastAsia="ru-RU"/>
        </w:rPr>
        <w:t xml:space="preserve"> </w:t>
      </w:r>
      <w:r>
        <w:rPr>
          <w:rFonts w:ascii="Arial" w:eastAsia="Times New Roman" w:hAnsi="Arial" w:cs="Arial"/>
          <w:b/>
          <w:sz w:val="20"/>
          <w:szCs w:val="20"/>
          <w:lang w:eastAsia="ru-RU"/>
        </w:rPr>
        <w:t>5</w:t>
      </w:r>
      <w:r w:rsidRPr="00DF0CA1">
        <w:rPr>
          <w:rFonts w:ascii="Arial" w:eastAsia="Times New Roman" w:hAnsi="Arial" w:cs="Arial"/>
          <w:b/>
          <w:sz w:val="20"/>
          <w:szCs w:val="20"/>
          <w:lang w:eastAsia="ru-RU"/>
        </w:rPr>
        <w:t xml:space="preserve"> sub-proiecte </w:t>
      </w:r>
      <w:r w:rsidRPr="00DF0CA1">
        <w:rPr>
          <w:rFonts w:ascii="Arial" w:eastAsia="Times New Roman" w:hAnsi="Arial" w:cs="Arial"/>
          <w:sz w:val="20"/>
          <w:szCs w:val="20"/>
          <w:lang w:eastAsia="ru-RU"/>
        </w:rPr>
        <w:t xml:space="preserve">prin componenta -leasing ale beneficiarilor finali eligibili </w:t>
      </w:r>
      <w:bookmarkStart w:id="1" w:name="_Hlk110520935"/>
      <w:r w:rsidRPr="00DF0CA1">
        <w:rPr>
          <w:rFonts w:ascii="Arial" w:eastAsia="Times New Roman" w:hAnsi="Arial" w:cs="Arial"/>
          <w:sz w:val="20"/>
          <w:szCs w:val="20"/>
          <w:lang w:eastAsia="ru-RU"/>
        </w:rPr>
        <w:t xml:space="preserve">în sumă de echivalentul a </w:t>
      </w:r>
      <w:r>
        <w:rPr>
          <w:rFonts w:ascii="Arial" w:eastAsia="Times New Roman" w:hAnsi="Arial" w:cs="Arial"/>
          <w:b/>
          <w:sz w:val="20"/>
          <w:szCs w:val="20"/>
          <w:lang w:eastAsia="ru-RU"/>
        </w:rPr>
        <w:t>58</w:t>
      </w:r>
      <w:r w:rsidRPr="00DF0CA1">
        <w:rPr>
          <w:rFonts w:ascii="Arial" w:eastAsia="Times New Roman" w:hAnsi="Arial" w:cs="Arial"/>
          <w:b/>
          <w:sz w:val="20"/>
          <w:szCs w:val="20"/>
          <w:lang w:eastAsia="ru-RU"/>
        </w:rPr>
        <w:t>.9</w:t>
      </w:r>
      <w:r>
        <w:rPr>
          <w:rFonts w:ascii="Arial" w:eastAsia="Times New Roman" w:hAnsi="Arial" w:cs="Arial"/>
          <w:b/>
          <w:sz w:val="20"/>
          <w:szCs w:val="20"/>
          <w:lang w:eastAsia="ru-RU"/>
        </w:rPr>
        <w:t>5</w:t>
      </w:r>
      <w:r w:rsidRPr="00DF0CA1">
        <w:rPr>
          <w:rFonts w:ascii="Arial" w:eastAsia="Times New Roman" w:hAnsi="Arial" w:cs="Arial"/>
          <w:b/>
          <w:sz w:val="20"/>
          <w:szCs w:val="20"/>
          <w:lang w:eastAsia="ru-RU"/>
        </w:rPr>
        <w:t xml:space="preserve"> mil. EUR</w:t>
      </w:r>
      <w:bookmarkEnd w:id="1"/>
      <w:r w:rsidRPr="00DF0CA1">
        <w:rPr>
          <w:rFonts w:ascii="Arial" w:eastAsia="Times New Roman" w:hAnsi="Arial" w:cs="Arial"/>
          <w:sz w:val="20"/>
          <w:szCs w:val="20"/>
          <w:lang w:eastAsia="ru-RU"/>
        </w:rPr>
        <w:t xml:space="preserve">, care constituie circa </w:t>
      </w:r>
      <w:r>
        <w:rPr>
          <w:rFonts w:ascii="Arial" w:eastAsia="Times New Roman" w:hAnsi="Arial" w:cs="Arial"/>
          <w:sz w:val="20"/>
          <w:szCs w:val="20"/>
          <w:lang w:eastAsia="ru-RU"/>
        </w:rPr>
        <w:t>54</w:t>
      </w:r>
      <w:r w:rsidRPr="00DF0CA1">
        <w:rPr>
          <w:rFonts w:ascii="Arial" w:eastAsia="Times New Roman" w:hAnsi="Arial" w:cs="Arial"/>
          <w:sz w:val="20"/>
          <w:szCs w:val="20"/>
          <w:lang w:eastAsia="ru-RU"/>
        </w:rPr>
        <w:t>,</w:t>
      </w:r>
      <w:r>
        <w:rPr>
          <w:rFonts w:ascii="Arial" w:eastAsia="Times New Roman" w:hAnsi="Arial" w:cs="Arial"/>
          <w:sz w:val="20"/>
          <w:szCs w:val="20"/>
          <w:lang w:eastAsia="ru-RU"/>
        </w:rPr>
        <w:t>6</w:t>
      </w:r>
      <w:r w:rsidRPr="00DF0CA1">
        <w:rPr>
          <w:rFonts w:ascii="Arial" w:eastAsia="Times New Roman" w:hAnsi="Arial" w:cs="Arial"/>
          <w:sz w:val="20"/>
          <w:szCs w:val="20"/>
          <w:lang w:eastAsia="ru-RU"/>
        </w:rPr>
        <w:t xml:space="preserve">% din suma totala a Liniei de Credit. </w:t>
      </w:r>
    </w:p>
    <w:p w:rsidR="008C5DE7" w:rsidRPr="00DF0CA1" w:rsidRDefault="008C5DE7" w:rsidP="008C5DE7">
      <w:pPr>
        <w:spacing w:after="0" w:line="240" w:lineRule="auto"/>
        <w:jc w:val="both"/>
        <w:rPr>
          <w:rFonts w:ascii="Arial" w:eastAsia="Calibri" w:hAnsi="Arial" w:cs="Arial"/>
          <w:sz w:val="20"/>
          <w:szCs w:val="20"/>
        </w:rPr>
      </w:pPr>
      <w:r w:rsidRPr="00DF0CA1">
        <w:rPr>
          <w:rFonts w:ascii="Arial" w:eastAsia="Calibri" w:hAnsi="Arial" w:cs="Arial"/>
          <w:sz w:val="20"/>
          <w:szCs w:val="20"/>
        </w:rPr>
        <w:t xml:space="preserve">   </w:t>
      </w:r>
    </w:p>
    <w:p w:rsidR="008C5DE7" w:rsidRPr="00DF0CA1" w:rsidRDefault="008C5DE7" w:rsidP="008C5DE7">
      <w:pPr>
        <w:spacing w:after="0" w:line="240" w:lineRule="auto"/>
        <w:jc w:val="both"/>
        <w:rPr>
          <w:rFonts w:ascii="Arial" w:eastAsia="Calibri" w:hAnsi="Arial" w:cs="Arial"/>
          <w:sz w:val="20"/>
          <w:szCs w:val="20"/>
        </w:rPr>
      </w:pPr>
      <w:r w:rsidRPr="00DF0CA1">
        <w:rPr>
          <w:rFonts w:ascii="Arial" w:eastAsia="Calibri" w:hAnsi="Arial" w:cs="Arial"/>
          <w:sz w:val="20"/>
          <w:szCs w:val="20"/>
          <w:u w:val="single"/>
        </w:rPr>
        <w:t xml:space="preserve">Beneficiari eligibili de sub-împrumuturi </w:t>
      </w:r>
      <w:r w:rsidRPr="00DF0CA1">
        <w:rPr>
          <w:rFonts w:ascii="Arial" w:eastAsia="Calibri" w:hAnsi="Arial" w:cs="Arial"/>
          <w:sz w:val="20"/>
          <w:szCs w:val="20"/>
        </w:rPr>
        <w:t>pot fi Întreprinderi Mici și Mijlocii (IMM ), alte companii care operează în sectorul horticol, vinicol și a industriei conexe, inclusiv companii private și publice, care nu se încadrează în definiția IMM, autoritățile centrale sau locale sau alte instituții publice cu activități în cadrul lanțului valoric horticol.</w:t>
      </w:r>
    </w:p>
    <w:p w:rsidR="008C5DE7" w:rsidRPr="00DF0CA1" w:rsidRDefault="008C5DE7" w:rsidP="008C5DE7">
      <w:pPr>
        <w:spacing w:before="100" w:beforeAutospacing="1" w:after="0" w:afterAutospacing="1" w:line="240" w:lineRule="auto"/>
        <w:ind w:left="360"/>
        <w:jc w:val="both"/>
        <w:rPr>
          <w:rFonts w:ascii="Arial" w:eastAsia="Calibri" w:hAnsi="Arial" w:cs="Arial"/>
          <w:sz w:val="20"/>
          <w:szCs w:val="20"/>
        </w:rPr>
      </w:pPr>
      <w:r w:rsidRPr="00DF0CA1">
        <w:rPr>
          <w:rFonts w:ascii="Arial" w:eastAsia="Times New Roman" w:hAnsi="Arial" w:cs="Arial"/>
          <w:sz w:val="20"/>
          <w:szCs w:val="20"/>
          <w:u w:val="single"/>
          <w:lang w:eastAsia="ru-RU"/>
        </w:rPr>
        <w:t>Activități eligibile</w:t>
      </w:r>
      <w:r w:rsidRPr="00DF0CA1">
        <w:rPr>
          <w:rFonts w:ascii="Arial" w:eastAsia="Times New Roman" w:hAnsi="Arial" w:cs="Arial"/>
          <w:sz w:val="20"/>
          <w:szCs w:val="20"/>
          <w:lang w:eastAsia="ru-RU"/>
        </w:rPr>
        <w:t xml:space="preserve"> spre finanțare ale sub-proiectelor pot fi </w:t>
      </w:r>
      <w:r w:rsidRPr="00DF0CA1">
        <w:rPr>
          <w:rFonts w:ascii="Arial" w:eastAsia="Calibri" w:hAnsi="Arial" w:cs="Arial"/>
          <w:sz w:val="20"/>
          <w:szCs w:val="20"/>
        </w:rPr>
        <w:t xml:space="preserve">din domeniul horticol, vinicol si activitățile de post-recoltare care includ creșterea, procesarea, prelucrarea, distilarea, înghețarea, păstrarea, conservarea, uscarea tuturor tipurilor de produse horticole si vinicole, inclusiv a materiei prime. Activitățile finanțate pot include creșterea strugurilor, legumelor, fructelor, nucilor, plantelor și pomușoarelor alimentare, plantelor de ornamentare, pepinierelor. Eligibile spre finanțare sunt toate investițiile în infrastructura de post-recoltare, inclusiv instalații de pre-răcire, transportare la rece, echipamente de sortare, prelucrare, calibrare, ambalare, platforme de comercializare și altele. </w:t>
      </w:r>
    </w:p>
    <w:p w:rsidR="008C5DE7" w:rsidRPr="00DF0CA1" w:rsidRDefault="008C5DE7" w:rsidP="008C5DE7">
      <w:pPr>
        <w:tabs>
          <w:tab w:val="left" w:pos="0"/>
          <w:tab w:val="left" w:pos="270"/>
        </w:tabs>
        <w:spacing w:after="0" w:line="276" w:lineRule="auto"/>
        <w:ind w:left="360"/>
        <w:jc w:val="both"/>
        <w:rPr>
          <w:rFonts w:ascii="Arial" w:eastAsia="Times New Roman" w:hAnsi="Arial" w:cs="Arial"/>
          <w:sz w:val="20"/>
          <w:szCs w:val="20"/>
          <w:lang w:eastAsia="ru-RU"/>
        </w:rPr>
      </w:pPr>
      <w:r w:rsidRPr="00DF0CA1">
        <w:rPr>
          <w:rFonts w:ascii="Arial" w:eastAsia="Times New Roman" w:hAnsi="Arial" w:cs="Arial"/>
          <w:sz w:val="20"/>
          <w:szCs w:val="20"/>
          <w:u w:val="single"/>
          <w:lang w:eastAsia="ru-RU"/>
        </w:rPr>
        <w:t>Sub-proiecte eligibile</w:t>
      </w:r>
      <w:r w:rsidRPr="00DF0CA1">
        <w:rPr>
          <w:rFonts w:ascii="Arial" w:eastAsia="Times New Roman" w:hAnsi="Arial" w:cs="Arial"/>
          <w:b/>
          <w:sz w:val="20"/>
          <w:szCs w:val="20"/>
          <w:lang w:eastAsia="ru-RU"/>
        </w:rPr>
        <w:t>:</w:t>
      </w:r>
      <w:r w:rsidRPr="00DF0CA1">
        <w:rPr>
          <w:rFonts w:ascii="Arial" w:eastAsia="Times New Roman" w:hAnsi="Arial" w:cs="Arial"/>
          <w:sz w:val="20"/>
          <w:szCs w:val="20"/>
          <w:lang w:eastAsia="ru-RU"/>
        </w:rPr>
        <w:t xml:space="preserve"> cu excepția cazurilor, în care BEI și Guvernul Republicii Moldova vor conveni altfel, valoarea și termenul sub-Împrumuturilor vor fi plafonate în dependență de tipul sub-Împrumutului, după cum urmează:</w:t>
      </w:r>
    </w:p>
    <w:p w:rsidR="008C5DE7" w:rsidRPr="00DF0CA1" w:rsidRDefault="008C5DE7" w:rsidP="008C5DE7">
      <w:pPr>
        <w:tabs>
          <w:tab w:val="left" w:pos="270"/>
          <w:tab w:val="center" w:pos="4320"/>
          <w:tab w:val="right" w:pos="8640"/>
        </w:tabs>
        <w:spacing w:after="0" w:line="276" w:lineRule="auto"/>
        <w:jc w:val="both"/>
        <w:rPr>
          <w:rFonts w:ascii="Arial" w:eastAsia="Times New Roman" w:hAnsi="Arial" w:cs="Arial"/>
          <w:sz w:val="20"/>
          <w:szCs w:val="20"/>
          <w:lang w:eastAsia="ru-RU"/>
        </w:rPr>
      </w:pPr>
      <w:r w:rsidRPr="00DF0CA1">
        <w:rPr>
          <w:rFonts w:ascii="Arial" w:eastAsia="Times New Roman" w:hAnsi="Arial" w:cs="Arial"/>
          <w:sz w:val="20"/>
          <w:szCs w:val="20"/>
          <w:lang w:eastAsia="ru-RU"/>
        </w:rPr>
        <w:tab/>
      </w:r>
    </w:p>
    <w:p w:rsidR="008C5DE7" w:rsidRPr="00DF0CA1" w:rsidRDefault="008C5DE7" w:rsidP="008C5DE7">
      <w:pPr>
        <w:widowControl w:val="0"/>
        <w:numPr>
          <w:ilvl w:val="0"/>
          <w:numId w:val="1"/>
        </w:numPr>
        <w:suppressAutoHyphens/>
        <w:spacing w:before="120" w:after="0" w:line="240" w:lineRule="auto"/>
        <w:jc w:val="both"/>
        <w:rPr>
          <w:rFonts w:ascii="Arial" w:eastAsia="Calibri" w:hAnsi="Arial" w:cs="Arial"/>
          <w:sz w:val="20"/>
          <w:szCs w:val="20"/>
        </w:rPr>
      </w:pPr>
      <w:r w:rsidRPr="00DF0CA1">
        <w:rPr>
          <w:rFonts w:ascii="Arial" w:eastAsia="Calibri" w:hAnsi="Arial" w:cs="Arial"/>
          <w:sz w:val="20"/>
          <w:szCs w:val="20"/>
        </w:rPr>
        <w:t xml:space="preserve">sub-proiectele cu un cost total de mai mult de </w:t>
      </w:r>
      <w:r w:rsidRPr="00DF0CA1">
        <w:rPr>
          <w:rFonts w:ascii="Arial" w:eastAsia="Calibri" w:hAnsi="Arial" w:cs="Arial"/>
          <w:b/>
          <w:sz w:val="20"/>
          <w:szCs w:val="20"/>
        </w:rPr>
        <w:t>5 milioane EURO</w:t>
      </w:r>
      <w:r w:rsidRPr="00DF0CA1">
        <w:rPr>
          <w:rFonts w:ascii="Arial" w:eastAsia="Calibri" w:hAnsi="Arial" w:cs="Arial"/>
          <w:sz w:val="20"/>
          <w:szCs w:val="20"/>
        </w:rPr>
        <w:t xml:space="preserve"> sunt eligibile, cu condiția  aprobării preventive de către BEI;</w:t>
      </w:r>
    </w:p>
    <w:p w:rsidR="008C5DE7" w:rsidRPr="00DF0CA1" w:rsidRDefault="008C5DE7" w:rsidP="008C5DE7">
      <w:pPr>
        <w:widowControl w:val="0"/>
        <w:numPr>
          <w:ilvl w:val="0"/>
          <w:numId w:val="1"/>
        </w:numPr>
        <w:suppressAutoHyphens/>
        <w:spacing w:before="120" w:after="0" w:line="240" w:lineRule="auto"/>
        <w:jc w:val="both"/>
        <w:rPr>
          <w:rFonts w:ascii="Arial" w:eastAsia="Calibri" w:hAnsi="Arial" w:cs="Arial"/>
          <w:sz w:val="20"/>
          <w:szCs w:val="20"/>
        </w:rPr>
      </w:pPr>
      <w:r w:rsidRPr="00DF0CA1">
        <w:rPr>
          <w:rFonts w:ascii="Arial" w:eastAsia="Calibri" w:hAnsi="Arial" w:cs="Arial"/>
          <w:sz w:val="20"/>
          <w:szCs w:val="20"/>
        </w:rPr>
        <w:t xml:space="preserve">alocarea maximă cumulativă pe care un beneficiar final care operează sau vrea să creeze pepiniere, să planteze livezi și viță de vie de struguri de masă, replanteze și / sau restructureze, nu trebuie să depășească </w:t>
      </w:r>
      <w:r w:rsidRPr="00DF0CA1">
        <w:rPr>
          <w:rFonts w:ascii="Arial" w:eastAsia="Calibri" w:hAnsi="Arial" w:cs="Arial"/>
          <w:b/>
          <w:sz w:val="20"/>
          <w:szCs w:val="20"/>
        </w:rPr>
        <w:t>1.000.000 EURO</w:t>
      </w:r>
      <w:r w:rsidRPr="00DF0CA1">
        <w:rPr>
          <w:rFonts w:ascii="Arial" w:eastAsia="Calibri" w:hAnsi="Arial" w:cs="Arial"/>
          <w:sz w:val="20"/>
          <w:szCs w:val="20"/>
        </w:rPr>
        <w:t>;</w:t>
      </w:r>
    </w:p>
    <w:p w:rsidR="008C5DE7" w:rsidRPr="00DF0CA1" w:rsidRDefault="008C5DE7" w:rsidP="008C5DE7">
      <w:pPr>
        <w:widowControl w:val="0"/>
        <w:numPr>
          <w:ilvl w:val="0"/>
          <w:numId w:val="1"/>
        </w:numPr>
        <w:suppressAutoHyphens/>
        <w:spacing w:before="120" w:after="0" w:line="240" w:lineRule="auto"/>
        <w:jc w:val="both"/>
        <w:rPr>
          <w:rFonts w:ascii="Arial" w:eastAsia="Calibri" w:hAnsi="Arial" w:cs="Arial"/>
          <w:sz w:val="20"/>
          <w:szCs w:val="20"/>
        </w:rPr>
      </w:pPr>
      <w:r w:rsidRPr="00DF0CA1">
        <w:rPr>
          <w:rFonts w:ascii="Arial" w:eastAsia="Calibri" w:hAnsi="Arial" w:cs="Arial"/>
          <w:sz w:val="20"/>
          <w:szCs w:val="20"/>
        </w:rPr>
        <w:t xml:space="preserve">alocarea maximă cumulativă pentru un singur beneficiar final (inclusiv toate investițiile acestuia în cadrul lanțului valoric) nu trebuie să depășească </w:t>
      </w:r>
      <w:r w:rsidRPr="00DF0CA1">
        <w:rPr>
          <w:rFonts w:ascii="Arial" w:eastAsia="Calibri" w:hAnsi="Arial" w:cs="Arial"/>
          <w:b/>
          <w:sz w:val="20"/>
          <w:szCs w:val="20"/>
        </w:rPr>
        <w:t>5.000.000 EURO</w:t>
      </w:r>
      <w:r w:rsidRPr="00DF0CA1">
        <w:rPr>
          <w:rFonts w:ascii="Arial" w:eastAsia="Calibri" w:hAnsi="Arial" w:cs="Arial"/>
          <w:sz w:val="20"/>
          <w:szCs w:val="20"/>
        </w:rPr>
        <w:t>;</w:t>
      </w:r>
    </w:p>
    <w:p w:rsidR="008C5DE7" w:rsidRPr="00DF0CA1" w:rsidRDefault="008C5DE7" w:rsidP="008C5DE7">
      <w:pPr>
        <w:widowControl w:val="0"/>
        <w:numPr>
          <w:ilvl w:val="0"/>
          <w:numId w:val="1"/>
        </w:numPr>
        <w:suppressAutoHyphens/>
        <w:spacing w:before="120" w:after="0" w:line="240" w:lineRule="auto"/>
        <w:jc w:val="both"/>
        <w:rPr>
          <w:rFonts w:ascii="Arial" w:eastAsia="Calibri" w:hAnsi="Arial" w:cs="Arial"/>
          <w:sz w:val="20"/>
          <w:szCs w:val="20"/>
        </w:rPr>
      </w:pPr>
      <w:r w:rsidRPr="00DF0CA1">
        <w:rPr>
          <w:rFonts w:ascii="Arial" w:eastAsia="Calibri" w:hAnsi="Arial" w:cs="Arial"/>
          <w:sz w:val="20"/>
          <w:szCs w:val="20"/>
        </w:rPr>
        <w:t xml:space="preserve">valoarea minimă de alocare pentru orice investiție individuală trebuie să fie de cel puțin </w:t>
      </w:r>
      <w:r w:rsidRPr="00DF0CA1">
        <w:rPr>
          <w:rFonts w:ascii="Arial" w:eastAsia="Calibri" w:hAnsi="Arial" w:cs="Arial"/>
          <w:b/>
          <w:sz w:val="20"/>
          <w:szCs w:val="20"/>
        </w:rPr>
        <w:t>5.000 EURO</w:t>
      </w:r>
      <w:r w:rsidRPr="00DF0CA1">
        <w:rPr>
          <w:rFonts w:ascii="Arial" w:eastAsia="Calibri" w:hAnsi="Arial" w:cs="Arial"/>
          <w:sz w:val="20"/>
          <w:szCs w:val="20"/>
        </w:rPr>
        <w:t>.</w:t>
      </w:r>
    </w:p>
    <w:p w:rsidR="008C5DE7" w:rsidRPr="00DF0CA1" w:rsidRDefault="008C5DE7" w:rsidP="008C5DE7">
      <w:pPr>
        <w:widowControl w:val="0"/>
        <w:numPr>
          <w:ilvl w:val="0"/>
          <w:numId w:val="1"/>
        </w:numPr>
        <w:suppressAutoHyphens/>
        <w:spacing w:before="120" w:after="120" w:line="240" w:lineRule="auto"/>
        <w:jc w:val="both"/>
        <w:rPr>
          <w:rFonts w:ascii="Arial" w:eastAsia="Calibri" w:hAnsi="Arial" w:cs="Arial"/>
          <w:sz w:val="20"/>
          <w:szCs w:val="20"/>
        </w:rPr>
      </w:pPr>
      <w:r w:rsidRPr="00DF0CA1">
        <w:rPr>
          <w:rFonts w:ascii="Arial" w:eastAsia="Calibri" w:hAnsi="Arial" w:cs="Arial"/>
          <w:sz w:val="20"/>
          <w:szCs w:val="20"/>
        </w:rPr>
        <w:t xml:space="preserve">creditul BEI poate fi utilizat pentru a oferi o bază stabilă de capital circulant de până la </w:t>
      </w:r>
      <w:r w:rsidRPr="00DF0CA1">
        <w:rPr>
          <w:rFonts w:ascii="Arial" w:eastAsia="Calibri" w:hAnsi="Arial" w:cs="Arial"/>
          <w:b/>
          <w:sz w:val="20"/>
          <w:szCs w:val="20"/>
        </w:rPr>
        <w:t xml:space="preserve">600.000 EURO </w:t>
      </w:r>
      <w:r w:rsidRPr="00DF0CA1">
        <w:rPr>
          <w:rFonts w:ascii="Arial" w:eastAsia="Calibri" w:hAnsi="Arial" w:cs="Arial"/>
          <w:sz w:val="20"/>
          <w:szCs w:val="20"/>
        </w:rPr>
        <w:t>prin finanțarea cerințelor de capital circulant legat de producere. IFP intermediară poate oferi un sub-Împrumut beneficiarului final pentru finanțarea capitalului circulant pe un termen de cel puțin 2 ani, care nu va depăși maturitatea maximală de 5 ani, inclusiv perioada de grație de 2 ani.</w:t>
      </w:r>
    </w:p>
    <w:p w:rsidR="008C5DE7" w:rsidRPr="00DF0CA1" w:rsidRDefault="008C5DE7" w:rsidP="008C5DE7">
      <w:pPr>
        <w:tabs>
          <w:tab w:val="left" w:pos="567"/>
        </w:tabs>
        <w:spacing w:after="200" w:line="276" w:lineRule="auto"/>
        <w:ind w:left="360" w:right="-43"/>
        <w:jc w:val="both"/>
        <w:rPr>
          <w:rFonts w:ascii="Arial" w:eastAsia="Calibri" w:hAnsi="Arial" w:cs="Arial"/>
          <w:sz w:val="20"/>
          <w:szCs w:val="20"/>
        </w:rPr>
      </w:pPr>
      <w:r w:rsidRPr="00DF0CA1">
        <w:rPr>
          <w:rFonts w:ascii="Arial" w:eastAsia="Calibri" w:hAnsi="Arial" w:cs="Arial"/>
          <w:sz w:val="20"/>
          <w:szCs w:val="20"/>
        </w:rPr>
        <w:lastRenderedPageBreak/>
        <w:t>Costul total al unui sub-proiect nu trebuie să depășească 50 milioane EURO sau echivalentul acestei sume. Ca regula generală, pentru partajarea riscurilor, finanțarea din partea BEI nu trebuie să depășească 50 % din costul sub-proiectului. Restul de 50% din costul total al sub-proiectului poate fi finanțat prin: (i) fondurile proprii ale beneficiarului, inclusiv contribuțiile proprii justificate; (ii) credite adiționale de la bănci comerciale locale; (iii) din partea altor instituții financiare internaționale; (iv) subvențiile disponibile de la diferiți donatori; (v) sau alte resurse disponibile, inclusiv bugetare.</w:t>
      </w:r>
    </w:p>
    <w:p w:rsidR="008C5DE7" w:rsidRPr="00DF0CA1" w:rsidRDefault="008C5DE7" w:rsidP="008C5DE7">
      <w:pPr>
        <w:spacing w:after="200" w:line="276" w:lineRule="auto"/>
        <w:ind w:left="360"/>
        <w:jc w:val="both"/>
        <w:rPr>
          <w:rFonts w:ascii="Arial" w:eastAsia="Calibri" w:hAnsi="Arial" w:cs="Arial"/>
          <w:sz w:val="20"/>
          <w:szCs w:val="20"/>
        </w:rPr>
      </w:pPr>
      <w:r w:rsidRPr="00DF0CA1">
        <w:rPr>
          <w:rFonts w:ascii="Arial" w:eastAsia="Calibri" w:hAnsi="Arial" w:cs="Arial"/>
          <w:sz w:val="20"/>
          <w:szCs w:val="20"/>
        </w:rPr>
        <w:t xml:space="preserve">Până la 10% din împrumutul BEI poate fi utilizată pentru recreditarea de sub-proiecte pentru finanțarea mijloacelor fixe uzate (in cazul clădirilor mai vechi de 5 ani -trebuie să fie evaluate în mod individual, instalațiile și echipamentele de mana a doua ar trebui să nu fie mai vechi de 10 ani). </w:t>
      </w:r>
    </w:p>
    <w:p w:rsidR="008C5DE7" w:rsidRPr="00BD5974" w:rsidRDefault="008C5DE7" w:rsidP="008C5DE7">
      <w:pPr>
        <w:tabs>
          <w:tab w:val="left" w:pos="709"/>
        </w:tabs>
        <w:spacing w:after="200" w:line="360" w:lineRule="auto"/>
        <w:ind w:firstLine="426"/>
        <w:jc w:val="both"/>
        <w:rPr>
          <w:rFonts w:ascii="Arial" w:eastAsia="Times New Roman" w:hAnsi="Arial" w:cs="Arial"/>
          <w:b/>
          <w:sz w:val="20"/>
          <w:szCs w:val="20"/>
          <w:lang w:eastAsia="ru-RU"/>
        </w:rPr>
      </w:pPr>
      <w:bookmarkStart w:id="2" w:name="_Hlk110521888"/>
      <w:r w:rsidRPr="00DF0CA1">
        <w:rPr>
          <w:rFonts w:ascii="Arial" w:eastAsia="Times New Roman" w:hAnsi="Arial" w:cs="Arial"/>
          <w:sz w:val="20"/>
          <w:szCs w:val="20"/>
          <w:u w:val="single"/>
          <w:lang w:eastAsia="ru-RU"/>
        </w:rPr>
        <w:t xml:space="preserve">Maturitatea </w:t>
      </w:r>
      <w:r w:rsidRPr="00DF0CA1">
        <w:rPr>
          <w:rFonts w:ascii="Arial" w:eastAsia="Times New Roman" w:hAnsi="Arial" w:cs="Arial"/>
          <w:sz w:val="20"/>
          <w:szCs w:val="20"/>
          <w:lang w:eastAsia="ru-RU"/>
        </w:rPr>
        <w:t xml:space="preserve">sub-împrumuturilor pentru beneficiari – </w:t>
      </w:r>
      <w:r w:rsidRPr="00BD5974">
        <w:rPr>
          <w:rFonts w:ascii="Arial" w:eastAsia="Times New Roman" w:hAnsi="Arial" w:cs="Arial"/>
          <w:b/>
          <w:sz w:val="20"/>
          <w:szCs w:val="20"/>
          <w:lang w:eastAsia="ru-RU"/>
        </w:rPr>
        <w:t xml:space="preserve">max. 10 ani și min. 2 ani. </w:t>
      </w:r>
    </w:p>
    <w:bookmarkEnd w:id="2"/>
    <w:p w:rsidR="008C5DE7" w:rsidRPr="00DF0CA1" w:rsidRDefault="008C5DE7" w:rsidP="008C5DE7">
      <w:pPr>
        <w:spacing w:before="120" w:after="120" w:line="240" w:lineRule="auto"/>
        <w:ind w:left="360"/>
        <w:jc w:val="both"/>
        <w:rPr>
          <w:rFonts w:ascii="Arial" w:eastAsia="Times New Roman" w:hAnsi="Arial" w:cs="Arial"/>
          <w:sz w:val="20"/>
          <w:szCs w:val="20"/>
        </w:rPr>
      </w:pPr>
      <w:r w:rsidRPr="00DF0CA1">
        <w:rPr>
          <w:rFonts w:ascii="Arial" w:eastAsia="Calibri" w:hAnsi="Arial" w:cs="Arial"/>
          <w:sz w:val="20"/>
          <w:szCs w:val="20"/>
        </w:rPr>
        <w:t xml:space="preserve">Activități neeligibile, care </w:t>
      </w:r>
      <w:r w:rsidRPr="00DF0CA1">
        <w:rPr>
          <w:rFonts w:ascii="Arial" w:eastAsia="Calibri" w:hAnsi="Arial" w:cs="Arial"/>
          <w:sz w:val="20"/>
          <w:szCs w:val="20"/>
          <w:u w:val="single"/>
        </w:rPr>
        <w:t>nu pot fi finanțate</w:t>
      </w:r>
      <w:r w:rsidRPr="00DF0CA1">
        <w:rPr>
          <w:rFonts w:ascii="Arial" w:eastAsia="Calibri" w:hAnsi="Arial" w:cs="Arial"/>
          <w:sz w:val="20"/>
          <w:szCs w:val="20"/>
        </w:rPr>
        <w:t>:</w:t>
      </w:r>
      <w:r w:rsidRPr="00DF0CA1">
        <w:rPr>
          <w:rFonts w:ascii="Arial" w:eastAsia="Times New Roman" w:hAnsi="Arial" w:cs="Arial"/>
          <w:sz w:val="20"/>
          <w:szCs w:val="20"/>
        </w:rPr>
        <w:t xml:space="preserve"> </w:t>
      </w:r>
    </w:p>
    <w:p w:rsidR="008C5DE7" w:rsidRPr="00DF0CA1" w:rsidRDefault="008C5DE7" w:rsidP="008C5DE7">
      <w:pPr>
        <w:numPr>
          <w:ilvl w:val="0"/>
          <w:numId w:val="2"/>
        </w:numPr>
        <w:spacing w:before="120" w:after="120" w:line="240" w:lineRule="auto"/>
        <w:jc w:val="both"/>
        <w:rPr>
          <w:rFonts w:ascii="Arial" w:eastAsia="Times New Roman" w:hAnsi="Arial" w:cs="Arial"/>
          <w:sz w:val="20"/>
          <w:szCs w:val="20"/>
        </w:rPr>
      </w:pPr>
      <w:r w:rsidRPr="00DF0CA1">
        <w:rPr>
          <w:rFonts w:ascii="Arial" w:eastAsia="Times New Roman" w:hAnsi="Arial" w:cs="Arial"/>
          <w:sz w:val="20"/>
          <w:szCs w:val="20"/>
        </w:rPr>
        <w:t>producerea (sau lucrări de construcție, distribuție sau prelucrare) și comerțul cu armament și arme, muniții, echipamente militare sau de poliție, sau infrastructuri, precum și echipamente sau infrastructură care au drept rezultat limitarea drepturilor individuale ale oamenilor și libertatea acestora (de exemplu în închisori, detenție centre de orice formă), sau prin încălcarea drepturilor omului;</w:t>
      </w:r>
    </w:p>
    <w:p w:rsidR="008C5DE7" w:rsidRPr="00DF0CA1" w:rsidRDefault="008C5DE7" w:rsidP="008C5DE7">
      <w:pPr>
        <w:numPr>
          <w:ilvl w:val="0"/>
          <w:numId w:val="2"/>
        </w:numPr>
        <w:spacing w:before="120" w:after="120" w:line="240" w:lineRule="auto"/>
        <w:jc w:val="both"/>
        <w:rPr>
          <w:rFonts w:ascii="Arial" w:eastAsia="Times New Roman" w:hAnsi="Arial" w:cs="Arial"/>
          <w:sz w:val="20"/>
          <w:szCs w:val="20"/>
        </w:rPr>
      </w:pPr>
      <w:r w:rsidRPr="00DF0CA1">
        <w:rPr>
          <w:rFonts w:ascii="Arial" w:eastAsia="Times New Roman" w:hAnsi="Arial" w:cs="Arial"/>
          <w:sz w:val="20"/>
          <w:szCs w:val="20"/>
        </w:rPr>
        <w:t>producția (sau lucrări de construcție, distribuție sau prelucrare), și comerțul cu jocurile de noroc și a echipamentelor aferente;</w:t>
      </w:r>
    </w:p>
    <w:p w:rsidR="008C5DE7" w:rsidRPr="00DF0CA1" w:rsidRDefault="008C5DE7" w:rsidP="008C5DE7">
      <w:pPr>
        <w:numPr>
          <w:ilvl w:val="0"/>
          <w:numId w:val="2"/>
        </w:numPr>
        <w:spacing w:before="120" w:after="120" w:line="240" w:lineRule="auto"/>
        <w:jc w:val="both"/>
        <w:rPr>
          <w:rFonts w:ascii="Arial" w:eastAsia="Times New Roman" w:hAnsi="Arial" w:cs="Arial"/>
          <w:sz w:val="20"/>
          <w:szCs w:val="20"/>
        </w:rPr>
      </w:pPr>
      <w:r w:rsidRPr="00DF0CA1">
        <w:rPr>
          <w:rFonts w:ascii="Arial" w:eastAsia="Times New Roman" w:hAnsi="Arial" w:cs="Arial"/>
          <w:sz w:val="20"/>
          <w:szCs w:val="20"/>
        </w:rPr>
        <w:t>producția (sau lucrări de construcție), distribuție sau prelucrare) și comerțului cu produse din tutun;</w:t>
      </w:r>
    </w:p>
    <w:p w:rsidR="008C5DE7" w:rsidRPr="00DF0CA1" w:rsidRDefault="008C5DE7" w:rsidP="008C5DE7">
      <w:pPr>
        <w:numPr>
          <w:ilvl w:val="0"/>
          <w:numId w:val="2"/>
        </w:numPr>
        <w:spacing w:before="120" w:after="120" w:line="240" w:lineRule="auto"/>
        <w:jc w:val="both"/>
        <w:rPr>
          <w:rFonts w:ascii="Arial" w:eastAsia="Times New Roman" w:hAnsi="Arial" w:cs="Arial"/>
          <w:sz w:val="20"/>
          <w:szCs w:val="20"/>
        </w:rPr>
      </w:pPr>
      <w:r w:rsidRPr="00DF0CA1">
        <w:rPr>
          <w:rFonts w:ascii="Arial" w:eastAsia="Times New Roman" w:hAnsi="Arial" w:cs="Arial"/>
          <w:sz w:val="20"/>
          <w:szCs w:val="20"/>
        </w:rPr>
        <w:t>activități care implică animale vii în scopuri experimentale și științifice, în măsura în care respectarea Convenției Consiliului Europei pentru protecția animalelor vertebrate utilizate în scopuri experimentale și în alte scopuri științifice nu poate fi garantată;</w:t>
      </w:r>
    </w:p>
    <w:p w:rsidR="008C5DE7" w:rsidRPr="00DF0CA1" w:rsidRDefault="008C5DE7" w:rsidP="008C5DE7">
      <w:pPr>
        <w:numPr>
          <w:ilvl w:val="0"/>
          <w:numId w:val="2"/>
        </w:numPr>
        <w:spacing w:before="120" w:after="120" w:line="240" w:lineRule="auto"/>
        <w:jc w:val="both"/>
        <w:rPr>
          <w:rFonts w:ascii="Arial" w:eastAsia="Times New Roman" w:hAnsi="Arial" w:cs="Arial"/>
          <w:sz w:val="20"/>
          <w:szCs w:val="20"/>
        </w:rPr>
      </w:pPr>
      <w:r w:rsidRPr="00DF0CA1">
        <w:rPr>
          <w:rFonts w:ascii="Arial" w:eastAsia="Times New Roman" w:hAnsi="Arial" w:cs="Arial"/>
          <w:sz w:val="20"/>
          <w:szCs w:val="20"/>
        </w:rPr>
        <w:t xml:space="preserve">activități cu impact asupra mediului înconjurător, care nu sunt în mare măsură diminuate și / sau compensate; </w:t>
      </w:r>
    </w:p>
    <w:p w:rsidR="008C5DE7" w:rsidRPr="00DF0CA1" w:rsidRDefault="008C5DE7" w:rsidP="008C5DE7">
      <w:pPr>
        <w:numPr>
          <w:ilvl w:val="0"/>
          <w:numId w:val="2"/>
        </w:numPr>
        <w:spacing w:before="120" w:after="120" w:line="240" w:lineRule="auto"/>
        <w:jc w:val="both"/>
        <w:rPr>
          <w:rFonts w:ascii="Arial" w:eastAsia="Times New Roman" w:hAnsi="Arial" w:cs="Arial"/>
          <w:sz w:val="20"/>
          <w:szCs w:val="20"/>
        </w:rPr>
      </w:pPr>
      <w:r w:rsidRPr="00DF0CA1">
        <w:rPr>
          <w:rFonts w:ascii="Arial" w:eastAsia="Times New Roman" w:hAnsi="Arial" w:cs="Arial"/>
          <w:sz w:val="20"/>
          <w:szCs w:val="20"/>
        </w:rPr>
        <w:t>activități considerate etic sau moral controversate, sau care sunt interzise de legislația națională, de exemplu cercetarea privind clonarea umană;</w:t>
      </w:r>
    </w:p>
    <w:p w:rsidR="008C5DE7" w:rsidRPr="00DF0CA1" w:rsidRDefault="008C5DE7" w:rsidP="008C5DE7">
      <w:pPr>
        <w:numPr>
          <w:ilvl w:val="0"/>
          <w:numId w:val="2"/>
        </w:numPr>
        <w:spacing w:before="120" w:after="120" w:line="240" w:lineRule="auto"/>
        <w:jc w:val="both"/>
        <w:rPr>
          <w:rFonts w:ascii="Arial" w:eastAsia="Times New Roman" w:hAnsi="Arial" w:cs="Arial"/>
          <w:sz w:val="20"/>
          <w:szCs w:val="20"/>
        </w:rPr>
      </w:pPr>
      <w:r w:rsidRPr="00DF0CA1">
        <w:rPr>
          <w:rFonts w:ascii="Arial" w:eastAsia="Times New Roman" w:hAnsi="Arial" w:cs="Arial"/>
          <w:sz w:val="20"/>
          <w:szCs w:val="20"/>
        </w:rPr>
        <w:t>activitatea pură de dezvoltare imobiliara;</w:t>
      </w:r>
    </w:p>
    <w:p w:rsidR="008C5DE7" w:rsidRPr="00DF0CA1" w:rsidRDefault="008C5DE7" w:rsidP="008C5DE7">
      <w:pPr>
        <w:numPr>
          <w:ilvl w:val="0"/>
          <w:numId w:val="2"/>
        </w:numPr>
        <w:spacing w:before="120" w:after="120" w:line="240" w:lineRule="auto"/>
        <w:jc w:val="both"/>
        <w:rPr>
          <w:rFonts w:ascii="Arial" w:eastAsia="Times New Roman" w:hAnsi="Arial" w:cs="Arial"/>
          <w:sz w:val="20"/>
          <w:szCs w:val="20"/>
        </w:rPr>
      </w:pPr>
      <w:r w:rsidRPr="00DF0CA1">
        <w:rPr>
          <w:rFonts w:ascii="Arial" w:eastAsia="Times New Roman" w:hAnsi="Arial" w:cs="Arial"/>
          <w:sz w:val="20"/>
          <w:szCs w:val="20"/>
        </w:rPr>
        <w:t>refinanțarea datoriilor;</w:t>
      </w:r>
    </w:p>
    <w:p w:rsidR="008C5DE7" w:rsidRPr="00DF0CA1" w:rsidRDefault="008C5DE7" w:rsidP="008C5DE7">
      <w:pPr>
        <w:numPr>
          <w:ilvl w:val="0"/>
          <w:numId w:val="2"/>
        </w:numPr>
        <w:spacing w:before="120" w:after="120" w:line="240" w:lineRule="auto"/>
        <w:jc w:val="both"/>
        <w:rPr>
          <w:rFonts w:ascii="Arial" w:eastAsia="Times New Roman" w:hAnsi="Arial" w:cs="Arial"/>
          <w:sz w:val="20"/>
          <w:szCs w:val="20"/>
        </w:rPr>
      </w:pPr>
      <w:r w:rsidRPr="00DF0CA1">
        <w:rPr>
          <w:rFonts w:ascii="Arial" w:eastAsia="Times New Roman" w:hAnsi="Arial" w:cs="Arial"/>
          <w:sz w:val="20"/>
          <w:szCs w:val="20"/>
        </w:rPr>
        <w:t>activități financiare pure și investiții în instrumente financiare.</w:t>
      </w:r>
    </w:p>
    <w:p w:rsidR="008C5DE7" w:rsidRPr="00DF0CA1" w:rsidRDefault="008C5DE7" w:rsidP="008C5DE7">
      <w:pPr>
        <w:spacing w:after="0" w:line="240" w:lineRule="auto"/>
        <w:jc w:val="both"/>
        <w:rPr>
          <w:rFonts w:ascii="Arial" w:eastAsia="Times New Roman" w:hAnsi="Arial" w:cs="Arial"/>
          <w:sz w:val="20"/>
          <w:szCs w:val="20"/>
          <w:lang w:eastAsia="ru-RU"/>
        </w:rPr>
      </w:pPr>
      <w:r w:rsidRPr="00DF0CA1">
        <w:rPr>
          <w:rFonts w:ascii="Arial" w:eastAsia="Times New Roman" w:hAnsi="Arial" w:cs="Arial"/>
          <w:sz w:val="20"/>
          <w:szCs w:val="20"/>
          <w:lang w:eastAsia="ru-RU"/>
        </w:rPr>
        <w:t xml:space="preserve">Este posibilă finanțarea retroactivă pentru </w:t>
      </w:r>
      <w:r w:rsidRPr="00DF0CA1">
        <w:rPr>
          <w:rFonts w:ascii="Arial" w:eastAsia="Calibri" w:hAnsi="Arial" w:cs="Arial"/>
          <w:sz w:val="20"/>
          <w:szCs w:val="20"/>
        </w:rPr>
        <w:t xml:space="preserve">cheltuielile eligibile, efectuate de către beneficiari din resursele proprii </w:t>
      </w:r>
      <w:proofErr w:type="spellStart"/>
      <w:r w:rsidRPr="00DF0CA1">
        <w:rPr>
          <w:rFonts w:ascii="Arial" w:eastAsia="Calibri" w:hAnsi="Arial" w:cs="Arial"/>
          <w:sz w:val="20"/>
          <w:szCs w:val="20"/>
        </w:rPr>
        <w:t>şi</w:t>
      </w:r>
      <w:proofErr w:type="spellEnd"/>
      <w:r w:rsidRPr="00DF0CA1">
        <w:rPr>
          <w:rFonts w:ascii="Arial" w:eastAsia="Calibri" w:hAnsi="Arial" w:cs="Arial"/>
          <w:sz w:val="20"/>
          <w:szCs w:val="20"/>
        </w:rPr>
        <w:t xml:space="preserve"> / sau din împrumuturile IFP înainte de data semnării acordului de credit cu IFP (cu toate acestea, cheltuielile eligibile </w:t>
      </w:r>
      <w:r w:rsidRPr="00DF0CA1">
        <w:rPr>
          <w:rFonts w:ascii="Arial" w:eastAsia="Calibri" w:hAnsi="Arial" w:cs="Arial"/>
          <w:iCs/>
          <w:sz w:val="20"/>
          <w:szCs w:val="20"/>
        </w:rPr>
        <w:t>nu trebuie să fie efectuate înainte de 31 iulie 2014</w:t>
      </w:r>
      <w:r w:rsidRPr="00DF0CA1">
        <w:rPr>
          <w:rFonts w:ascii="Arial" w:eastAsia="Calibri" w:hAnsi="Arial" w:cs="Arial"/>
          <w:sz w:val="20"/>
          <w:szCs w:val="20"/>
        </w:rPr>
        <w:t>)</w:t>
      </w:r>
      <w:r w:rsidRPr="00DF0CA1">
        <w:rPr>
          <w:rFonts w:ascii="Arial" w:eastAsia="Times New Roman" w:hAnsi="Arial" w:cs="Arial"/>
          <w:sz w:val="20"/>
          <w:szCs w:val="20"/>
          <w:lang w:eastAsia="ru-RU"/>
        </w:rPr>
        <w:t xml:space="preserve">. În cadrul Proiectului se vor promova investițiile noi. </w:t>
      </w:r>
    </w:p>
    <w:p w:rsidR="008C5DE7" w:rsidRPr="00DF0CA1" w:rsidRDefault="008C5DE7" w:rsidP="008C5DE7">
      <w:pPr>
        <w:spacing w:after="0" w:line="240" w:lineRule="auto"/>
        <w:jc w:val="both"/>
        <w:rPr>
          <w:rFonts w:ascii="Arial" w:eastAsia="Times New Roman" w:hAnsi="Arial" w:cs="Arial"/>
          <w:sz w:val="20"/>
          <w:szCs w:val="20"/>
          <w:lang w:eastAsia="ru-RU"/>
        </w:rPr>
      </w:pPr>
    </w:p>
    <w:p w:rsidR="008C5DE7" w:rsidRDefault="008C5DE7" w:rsidP="008C5DE7">
      <w:pPr>
        <w:spacing w:after="0" w:line="240" w:lineRule="auto"/>
        <w:jc w:val="both"/>
        <w:rPr>
          <w:rFonts w:ascii="Arial" w:eastAsia="Times New Roman" w:hAnsi="Arial" w:cs="Arial"/>
          <w:sz w:val="20"/>
          <w:szCs w:val="20"/>
          <w:lang w:eastAsia="ru-RU"/>
        </w:rPr>
      </w:pPr>
      <w:r w:rsidRPr="00DF0CA1">
        <w:rPr>
          <w:rFonts w:ascii="Arial" w:eastAsia="Times New Roman" w:hAnsi="Arial" w:cs="Arial"/>
          <w:sz w:val="20"/>
          <w:szCs w:val="20"/>
          <w:lang w:eastAsia="ru-RU"/>
        </w:rPr>
        <w:t>Rata de recreditare a</w:t>
      </w:r>
      <w:r w:rsidRPr="00DF0CA1">
        <w:rPr>
          <w:rFonts w:ascii="Arial" w:eastAsia="Times New Roman" w:hAnsi="Arial" w:cs="Arial"/>
          <w:b/>
          <w:sz w:val="20"/>
          <w:szCs w:val="20"/>
          <w:lang w:eastAsia="ru-RU"/>
        </w:rPr>
        <w:t xml:space="preserve"> </w:t>
      </w:r>
      <w:r w:rsidRPr="00DF0CA1">
        <w:rPr>
          <w:rFonts w:ascii="Arial" w:eastAsia="Times New Roman" w:hAnsi="Arial" w:cs="Arial"/>
          <w:sz w:val="20"/>
          <w:szCs w:val="20"/>
          <w:lang w:eastAsia="ru-RU"/>
        </w:rPr>
        <w:t xml:space="preserve">Ministerului Finanțelor / </w:t>
      </w:r>
      <w:r>
        <w:rPr>
          <w:rFonts w:ascii="Arial" w:eastAsia="Times New Roman" w:hAnsi="Arial" w:cs="Arial"/>
          <w:sz w:val="20"/>
          <w:szCs w:val="20"/>
          <w:lang w:eastAsia="ru-RU"/>
        </w:rPr>
        <w:t>OGPAE</w:t>
      </w:r>
      <w:r w:rsidRPr="00DF0CA1">
        <w:rPr>
          <w:rFonts w:ascii="Arial" w:eastAsia="Times New Roman" w:hAnsi="Arial" w:cs="Arial"/>
          <w:sz w:val="20"/>
          <w:szCs w:val="20"/>
          <w:lang w:eastAsia="ru-RU"/>
        </w:rPr>
        <w:t xml:space="preserve"> pentru băncile intermediare (anuală, flotantă, revizuită semi-anual pentru fiecare transa în parte alocată de BEI) pentru fondurile Liniei de Credit este bazată pe rata </w:t>
      </w:r>
      <w:proofErr w:type="spellStart"/>
      <w:r w:rsidRPr="00DF0CA1">
        <w:rPr>
          <w:rFonts w:ascii="Arial" w:eastAsia="Times New Roman" w:hAnsi="Arial" w:cs="Arial"/>
          <w:sz w:val="20"/>
          <w:szCs w:val="20"/>
          <w:lang w:eastAsia="ru-RU"/>
        </w:rPr>
        <w:t>Eribor</w:t>
      </w:r>
      <w:proofErr w:type="spellEnd"/>
      <w:r w:rsidRPr="00DF0CA1">
        <w:rPr>
          <w:rFonts w:ascii="Arial" w:eastAsia="Times New Roman" w:hAnsi="Arial" w:cs="Arial"/>
          <w:sz w:val="20"/>
          <w:szCs w:val="20"/>
          <w:lang w:eastAsia="ru-RU"/>
        </w:rPr>
        <w:t xml:space="preserve"> de 6 luni pentru sub-împrumuturi în EUR, plus marja creditorului extern, plus marja de acoperire a costurilor de deservire a împrumutului extern de stat și a cheltuielilor operaționale și de risc valutar. Băncile intermediare, asumându-și toate riscurile legate de recreditare, vor adăuga o marja pentru riscurile sale de credit, în același timp asigurând transmiterea beneficiarilor finali a avantajelor resurselor Proiectului BEI. Pentru resursele în MDL </w:t>
      </w:r>
      <w:r w:rsidRPr="00DF0CA1">
        <w:rPr>
          <w:rFonts w:ascii="Arial" w:eastAsia="Times New Roman" w:hAnsi="Arial" w:cs="Arial"/>
          <w:snapToGrid w:val="0"/>
          <w:sz w:val="20"/>
          <w:szCs w:val="20"/>
        </w:rPr>
        <w:t xml:space="preserve">ratele se vor baza pe rata </w:t>
      </w:r>
      <w:r>
        <w:rPr>
          <w:rFonts w:ascii="Arial" w:eastAsia="Times New Roman" w:hAnsi="Arial" w:cs="Arial"/>
          <w:snapToGrid w:val="0"/>
          <w:sz w:val="20"/>
          <w:szCs w:val="20"/>
        </w:rPr>
        <w:t>de baza a Băncii Naționale plus marja de acoperire pentru</w:t>
      </w:r>
      <w:r w:rsidRPr="00DF0CA1">
        <w:rPr>
          <w:rFonts w:ascii="Arial" w:eastAsia="Times New Roman" w:hAnsi="Arial" w:cs="Arial"/>
          <w:sz w:val="20"/>
          <w:szCs w:val="20"/>
          <w:lang w:eastAsia="ru-RU"/>
        </w:rPr>
        <w:t xml:space="preserve"> cheltuielil</w:t>
      </w:r>
      <w:r>
        <w:rPr>
          <w:rFonts w:ascii="Arial" w:eastAsia="Times New Roman" w:hAnsi="Arial" w:cs="Arial"/>
          <w:sz w:val="20"/>
          <w:szCs w:val="20"/>
          <w:lang w:eastAsia="ru-RU"/>
        </w:rPr>
        <w:t>e</w:t>
      </w:r>
      <w:r w:rsidRPr="00DF0CA1">
        <w:rPr>
          <w:rFonts w:ascii="Arial" w:eastAsia="Times New Roman" w:hAnsi="Arial" w:cs="Arial"/>
          <w:sz w:val="20"/>
          <w:szCs w:val="20"/>
          <w:lang w:eastAsia="ru-RU"/>
        </w:rPr>
        <w:t xml:space="preserve"> operaționale și de risc valutar, </w:t>
      </w:r>
      <w:r>
        <w:rPr>
          <w:rFonts w:ascii="Arial" w:eastAsia="Times New Roman" w:hAnsi="Arial" w:cs="Arial"/>
          <w:sz w:val="20"/>
          <w:szCs w:val="20"/>
          <w:lang w:eastAsia="ru-RU"/>
        </w:rPr>
        <w:t xml:space="preserve">plus </w:t>
      </w:r>
      <w:r w:rsidRPr="00DF0CA1">
        <w:rPr>
          <w:rFonts w:ascii="Arial" w:eastAsia="Times New Roman" w:hAnsi="Arial" w:cs="Arial"/>
          <w:sz w:val="20"/>
          <w:szCs w:val="20"/>
          <w:lang w:eastAsia="ru-RU"/>
        </w:rPr>
        <w:t>marja băncii intermediare pentru asumarea riscurilor de credit.</w:t>
      </w:r>
    </w:p>
    <w:p w:rsidR="008C5DE7" w:rsidRDefault="008C5DE7" w:rsidP="008C5DE7">
      <w:pPr>
        <w:spacing w:after="0" w:line="240" w:lineRule="auto"/>
        <w:jc w:val="both"/>
        <w:rPr>
          <w:rFonts w:ascii="Arial" w:eastAsia="Times New Roman" w:hAnsi="Arial" w:cs="Arial"/>
          <w:sz w:val="20"/>
          <w:szCs w:val="20"/>
          <w:lang w:eastAsia="ru-RU"/>
        </w:rPr>
      </w:pPr>
    </w:p>
    <w:p w:rsidR="008C5DE7" w:rsidRDefault="008C5DE7" w:rsidP="008C5DE7">
      <w:pPr>
        <w:spacing w:after="0" w:line="240" w:lineRule="auto"/>
        <w:jc w:val="both"/>
        <w:rPr>
          <w:rFonts w:ascii="Arial" w:eastAsia="Times New Roman" w:hAnsi="Arial" w:cs="Arial"/>
          <w:b/>
          <w:sz w:val="20"/>
          <w:szCs w:val="20"/>
          <w:lang w:eastAsia="ru-RU"/>
        </w:rPr>
      </w:pPr>
      <w:r w:rsidRPr="00B415AE">
        <w:rPr>
          <w:rFonts w:ascii="Arial" w:eastAsia="Times New Roman" w:hAnsi="Arial" w:cs="Arial"/>
          <w:b/>
          <w:sz w:val="20"/>
          <w:szCs w:val="20"/>
          <w:lang w:eastAsia="ru-RU"/>
        </w:rPr>
        <w:t>Finanțare din resursele Livada Moldovei refinanţare (</w:t>
      </w:r>
      <w:proofErr w:type="spellStart"/>
      <w:r w:rsidRPr="00B415AE">
        <w:rPr>
          <w:rFonts w:ascii="Arial" w:eastAsia="Times New Roman" w:hAnsi="Arial" w:cs="Arial"/>
          <w:b/>
          <w:sz w:val="20"/>
          <w:szCs w:val="20"/>
          <w:lang w:eastAsia="ru-RU"/>
        </w:rPr>
        <w:t>revolving</w:t>
      </w:r>
      <w:proofErr w:type="spellEnd"/>
      <w:r w:rsidRPr="00B415AE">
        <w:rPr>
          <w:rFonts w:ascii="Arial" w:eastAsia="Times New Roman" w:hAnsi="Arial" w:cs="Arial"/>
          <w:b/>
          <w:sz w:val="20"/>
          <w:szCs w:val="20"/>
          <w:lang w:eastAsia="ru-RU"/>
        </w:rPr>
        <w:t>)</w:t>
      </w:r>
      <w:r>
        <w:rPr>
          <w:rFonts w:ascii="Arial" w:eastAsia="Times New Roman" w:hAnsi="Arial" w:cs="Arial"/>
          <w:b/>
          <w:sz w:val="20"/>
          <w:szCs w:val="20"/>
          <w:lang w:eastAsia="ru-RU"/>
        </w:rPr>
        <w:t>.</w:t>
      </w:r>
    </w:p>
    <w:p w:rsidR="008C5DE7" w:rsidRDefault="008C5DE7" w:rsidP="008C5DE7">
      <w:pPr>
        <w:spacing w:after="0" w:line="240" w:lineRule="auto"/>
        <w:jc w:val="both"/>
        <w:rPr>
          <w:rFonts w:ascii="Arial" w:eastAsia="Times New Roman" w:hAnsi="Arial" w:cs="Arial"/>
          <w:b/>
          <w:sz w:val="20"/>
          <w:szCs w:val="20"/>
          <w:lang w:eastAsia="ru-RU"/>
        </w:rPr>
      </w:pPr>
    </w:p>
    <w:p w:rsidR="008C5DE7" w:rsidRDefault="008C5DE7" w:rsidP="008C5DE7">
      <w:pPr>
        <w:spacing w:after="0" w:line="240" w:lineRule="auto"/>
        <w:jc w:val="both"/>
        <w:rPr>
          <w:rFonts w:ascii="Arial" w:eastAsia="Times New Roman" w:hAnsi="Arial" w:cs="Arial"/>
          <w:sz w:val="20"/>
          <w:szCs w:val="20"/>
          <w:lang w:eastAsia="ru-RU"/>
        </w:rPr>
      </w:pPr>
      <w:r w:rsidRPr="00B415AE">
        <w:rPr>
          <w:rFonts w:ascii="Arial" w:eastAsia="Times New Roman" w:hAnsi="Arial" w:cs="Arial"/>
          <w:sz w:val="20"/>
          <w:szCs w:val="20"/>
          <w:lang w:eastAsia="ru-RU"/>
        </w:rPr>
        <w:t>Din 1 ianuarie 2022</w:t>
      </w:r>
      <w:r>
        <w:rPr>
          <w:rFonts w:ascii="Arial" w:eastAsia="Times New Roman" w:hAnsi="Arial" w:cs="Arial"/>
          <w:sz w:val="20"/>
          <w:szCs w:val="20"/>
          <w:lang w:eastAsia="ru-RU"/>
        </w:rPr>
        <w:t xml:space="preserve"> au devenit disponibile pentru recreditare resursele de refinanţare (</w:t>
      </w:r>
      <w:proofErr w:type="spellStart"/>
      <w:r>
        <w:rPr>
          <w:rFonts w:ascii="Arial" w:eastAsia="Times New Roman" w:hAnsi="Arial" w:cs="Arial"/>
          <w:sz w:val="20"/>
          <w:szCs w:val="20"/>
          <w:lang w:eastAsia="ru-RU"/>
        </w:rPr>
        <w:t>revolving</w:t>
      </w:r>
      <w:proofErr w:type="spellEnd"/>
      <w:r>
        <w:rPr>
          <w:rFonts w:ascii="Arial" w:eastAsia="Times New Roman" w:hAnsi="Arial" w:cs="Arial"/>
          <w:sz w:val="20"/>
          <w:szCs w:val="20"/>
          <w:lang w:eastAsia="ru-RU"/>
        </w:rPr>
        <w:t>).</w:t>
      </w:r>
    </w:p>
    <w:p w:rsidR="008C5DE7" w:rsidRDefault="008C5DE7" w:rsidP="008C5DE7">
      <w:pPr>
        <w:spacing w:after="0" w:line="240" w:lineRule="auto"/>
        <w:jc w:val="both"/>
        <w:rPr>
          <w:rFonts w:ascii="Arial" w:eastAsia="Times New Roman" w:hAnsi="Arial" w:cs="Arial"/>
          <w:sz w:val="20"/>
          <w:szCs w:val="20"/>
          <w:lang w:eastAsia="ru-RU"/>
        </w:rPr>
      </w:pPr>
    </w:p>
    <w:p w:rsidR="008C5DE7" w:rsidRPr="00B415AE" w:rsidRDefault="008C5DE7" w:rsidP="008C5DE7">
      <w:pPr>
        <w:spacing w:after="0" w:line="240" w:lineRule="auto"/>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In perioada 01 ianuarie-30 iunie 2022 au fost </w:t>
      </w:r>
      <w:proofErr w:type="spellStart"/>
      <w:r>
        <w:rPr>
          <w:rFonts w:ascii="Arial" w:eastAsia="Times New Roman" w:hAnsi="Arial" w:cs="Arial"/>
          <w:sz w:val="20"/>
          <w:szCs w:val="20"/>
          <w:lang w:eastAsia="ru-RU"/>
        </w:rPr>
        <w:t>recreditate</w:t>
      </w:r>
      <w:proofErr w:type="spellEnd"/>
      <w:r w:rsidRPr="00DF0CA1">
        <w:rPr>
          <w:rFonts w:ascii="Arial" w:eastAsia="Times New Roman" w:hAnsi="Arial" w:cs="Arial"/>
          <w:sz w:val="20"/>
          <w:szCs w:val="20"/>
          <w:lang w:eastAsia="ru-RU"/>
        </w:rPr>
        <w:t xml:space="preserve"> prin intermediul IFP </w:t>
      </w:r>
      <w:r w:rsidRPr="005152F4">
        <w:rPr>
          <w:rFonts w:ascii="Arial" w:eastAsia="Times New Roman" w:hAnsi="Arial" w:cs="Arial"/>
          <w:b/>
          <w:sz w:val="20"/>
          <w:szCs w:val="20"/>
          <w:lang w:eastAsia="ru-RU"/>
        </w:rPr>
        <w:t>80</w:t>
      </w:r>
      <w:r w:rsidRPr="00DF0CA1">
        <w:rPr>
          <w:rFonts w:ascii="Arial" w:eastAsia="Times New Roman" w:hAnsi="Arial" w:cs="Arial"/>
          <w:b/>
          <w:sz w:val="20"/>
          <w:szCs w:val="20"/>
          <w:lang w:eastAsia="ru-RU"/>
        </w:rPr>
        <w:t xml:space="preserve"> sub-proiecte</w:t>
      </w:r>
      <w:r>
        <w:rPr>
          <w:rFonts w:ascii="Arial" w:eastAsia="Times New Roman" w:hAnsi="Arial" w:cs="Arial"/>
          <w:b/>
          <w:sz w:val="20"/>
          <w:szCs w:val="20"/>
          <w:lang w:eastAsia="ru-RU"/>
        </w:rPr>
        <w:t xml:space="preserve"> </w:t>
      </w:r>
      <w:r w:rsidRPr="00DF0CA1">
        <w:rPr>
          <w:rFonts w:ascii="Arial" w:eastAsia="Times New Roman" w:hAnsi="Arial" w:cs="Arial"/>
          <w:sz w:val="20"/>
          <w:szCs w:val="20"/>
          <w:lang w:eastAsia="ru-RU"/>
        </w:rPr>
        <w:t xml:space="preserve">în sumă de echivalentul a </w:t>
      </w:r>
      <w:r>
        <w:rPr>
          <w:rFonts w:ascii="Arial" w:eastAsia="Times New Roman" w:hAnsi="Arial" w:cs="Arial"/>
          <w:b/>
          <w:sz w:val="20"/>
          <w:szCs w:val="20"/>
          <w:lang w:eastAsia="ru-RU"/>
        </w:rPr>
        <w:t>89</w:t>
      </w:r>
      <w:r w:rsidRPr="00DF0CA1">
        <w:rPr>
          <w:rFonts w:ascii="Arial" w:eastAsia="Times New Roman" w:hAnsi="Arial" w:cs="Arial"/>
          <w:b/>
          <w:sz w:val="20"/>
          <w:szCs w:val="20"/>
          <w:lang w:eastAsia="ru-RU"/>
        </w:rPr>
        <w:t>.</w:t>
      </w:r>
      <w:r>
        <w:rPr>
          <w:rFonts w:ascii="Arial" w:eastAsia="Times New Roman" w:hAnsi="Arial" w:cs="Arial"/>
          <w:b/>
          <w:sz w:val="20"/>
          <w:szCs w:val="20"/>
          <w:lang w:eastAsia="ru-RU"/>
        </w:rPr>
        <w:t>1</w:t>
      </w:r>
      <w:r w:rsidRPr="00DF0CA1">
        <w:rPr>
          <w:rFonts w:ascii="Arial" w:eastAsia="Times New Roman" w:hAnsi="Arial" w:cs="Arial"/>
          <w:b/>
          <w:sz w:val="20"/>
          <w:szCs w:val="20"/>
          <w:lang w:eastAsia="ru-RU"/>
        </w:rPr>
        <w:t xml:space="preserve"> mil. </w:t>
      </w:r>
      <w:r>
        <w:rPr>
          <w:rFonts w:ascii="Arial" w:eastAsia="Times New Roman" w:hAnsi="Arial" w:cs="Arial"/>
          <w:b/>
          <w:sz w:val="20"/>
          <w:szCs w:val="20"/>
          <w:lang w:eastAsia="ru-RU"/>
        </w:rPr>
        <w:t>MDL.</w:t>
      </w:r>
    </w:p>
    <w:p w:rsidR="008C5DE7" w:rsidRDefault="008C5DE7" w:rsidP="008C5DE7">
      <w:pPr>
        <w:spacing w:after="0" w:line="240" w:lineRule="auto"/>
        <w:ind w:left="360"/>
        <w:jc w:val="both"/>
        <w:rPr>
          <w:rFonts w:ascii="Arial" w:eastAsia="Times New Roman" w:hAnsi="Arial" w:cs="Arial"/>
          <w:sz w:val="20"/>
          <w:szCs w:val="20"/>
          <w:lang w:eastAsia="ru-RU"/>
        </w:rPr>
      </w:pPr>
    </w:p>
    <w:p w:rsidR="008C5DE7" w:rsidRDefault="008C5DE7" w:rsidP="008C5DE7">
      <w:pPr>
        <w:spacing w:after="0" w:line="240" w:lineRule="auto"/>
        <w:ind w:left="360"/>
        <w:jc w:val="both"/>
        <w:rPr>
          <w:rFonts w:ascii="Arial" w:eastAsia="Calibri" w:hAnsi="Arial" w:cs="Arial"/>
          <w:sz w:val="20"/>
          <w:szCs w:val="20"/>
          <w:u w:val="single"/>
        </w:rPr>
      </w:pPr>
      <w:r w:rsidRPr="00DF0CA1">
        <w:rPr>
          <w:rFonts w:ascii="Arial" w:eastAsia="Calibri" w:hAnsi="Arial" w:cs="Arial"/>
          <w:sz w:val="20"/>
          <w:szCs w:val="20"/>
          <w:u w:val="single"/>
        </w:rPr>
        <w:t>Beneficiari eligibili de sub-împrumuturi</w:t>
      </w:r>
    </w:p>
    <w:p w:rsidR="008C5DE7" w:rsidRDefault="008C5DE7" w:rsidP="008C5DE7">
      <w:pPr>
        <w:spacing w:after="0" w:line="240" w:lineRule="auto"/>
        <w:ind w:left="360"/>
        <w:jc w:val="both"/>
        <w:rPr>
          <w:rFonts w:ascii="Arial" w:eastAsia="Times New Roman" w:hAnsi="Arial" w:cs="Arial"/>
          <w:sz w:val="20"/>
          <w:szCs w:val="20"/>
          <w:lang w:eastAsia="ru-RU"/>
        </w:rPr>
      </w:pPr>
    </w:p>
    <w:p w:rsidR="008C5DE7" w:rsidRDefault="008C5DE7" w:rsidP="008C5DE7">
      <w:pPr>
        <w:spacing w:after="0" w:line="240" w:lineRule="auto"/>
        <w:ind w:left="36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Întreprinderi din toate domeniile de activitate, companii private și de stat, care operează pe teritoriul Republicii Moldova </w:t>
      </w:r>
      <w:proofErr w:type="spellStart"/>
      <w:r>
        <w:rPr>
          <w:rFonts w:ascii="Arial" w:eastAsia="Times New Roman" w:hAnsi="Arial" w:cs="Arial"/>
          <w:sz w:val="20"/>
          <w:szCs w:val="20"/>
          <w:lang w:eastAsia="ru-RU"/>
        </w:rPr>
        <w:t>şi</w:t>
      </w:r>
      <w:proofErr w:type="spellEnd"/>
      <w:r>
        <w:rPr>
          <w:rFonts w:ascii="Arial" w:eastAsia="Times New Roman" w:hAnsi="Arial" w:cs="Arial"/>
          <w:sz w:val="20"/>
          <w:szCs w:val="20"/>
          <w:lang w:eastAsia="ru-RU"/>
        </w:rPr>
        <w:t xml:space="preserve"> sunt înregistrate la autoritățile fiscale.</w:t>
      </w:r>
    </w:p>
    <w:p w:rsidR="008C5DE7" w:rsidRDefault="008C5DE7" w:rsidP="008C5DE7">
      <w:pPr>
        <w:spacing w:after="0" w:line="240" w:lineRule="auto"/>
        <w:ind w:left="360"/>
        <w:jc w:val="both"/>
        <w:rPr>
          <w:rFonts w:ascii="Arial" w:eastAsia="Times New Roman" w:hAnsi="Arial" w:cs="Arial"/>
          <w:sz w:val="20"/>
          <w:szCs w:val="20"/>
          <w:lang w:eastAsia="ru-RU"/>
        </w:rPr>
      </w:pPr>
    </w:p>
    <w:p w:rsidR="008C5DE7" w:rsidRDefault="008C5DE7" w:rsidP="008C5DE7">
      <w:pPr>
        <w:spacing w:after="0" w:line="240" w:lineRule="auto"/>
        <w:ind w:left="360"/>
        <w:jc w:val="both"/>
        <w:rPr>
          <w:rFonts w:ascii="Arial" w:eastAsia="Times New Roman" w:hAnsi="Arial" w:cs="Arial"/>
          <w:sz w:val="20"/>
          <w:szCs w:val="20"/>
          <w:lang w:eastAsia="ru-RU"/>
        </w:rPr>
      </w:pPr>
    </w:p>
    <w:p w:rsidR="008C5DE7" w:rsidRPr="00DF0CA1" w:rsidRDefault="008C5DE7" w:rsidP="008C5DE7">
      <w:pPr>
        <w:tabs>
          <w:tab w:val="left" w:pos="0"/>
          <w:tab w:val="left" w:pos="270"/>
        </w:tabs>
        <w:spacing w:after="0" w:line="276" w:lineRule="auto"/>
        <w:ind w:left="360"/>
        <w:jc w:val="both"/>
        <w:rPr>
          <w:rFonts w:ascii="Arial" w:eastAsia="Times New Roman" w:hAnsi="Arial" w:cs="Arial"/>
          <w:sz w:val="20"/>
          <w:szCs w:val="20"/>
          <w:lang w:eastAsia="ru-RU"/>
        </w:rPr>
      </w:pPr>
      <w:r w:rsidRPr="00DF0CA1">
        <w:rPr>
          <w:rFonts w:ascii="Arial" w:eastAsia="Times New Roman" w:hAnsi="Arial" w:cs="Arial"/>
          <w:sz w:val="20"/>
          <w:szCs w:val="20"/>
          <w:u w:val="single"/>
          <w:lang w:eastAsia="ru-RU"/>
        </w:rPr>
        <w:lastRenderedPageBreak/>
        <w:t>Sub-proiecte eligibile</w:t>
      </w:r>
      <w:r w:rsidRPr="00DF0CA1">
        <w:rPr>
          <w:rFonts w:ascii="Arial" w:eastAsia="Times New Roman" w:hAnsi="Arial" w:cs="Arial"/>
          <w:b/>
          <w:sz w:val="20"/>
          <w:szCs w:val="20"/>
          <w:lang w:eastAsia="ru-RU"/>
        </w:rPr>
        <w:t>:</w:t>
      </w:r>
      <w:r w:rsidRPr="00DF0CA1">
        <w:rPr>
          <w:rFonts w:ascii="Arial" w:eastAsia="Times New Roman" w:hAnsi="Arial" w:cs="Arial"/>
          <w:sz w:val="20"/>
          <w:szCs w:val="20"/>
          <w:lang w:eastAsia="ru-RU"/>
        </w:rPr>
        <w:t xml:space="preserve"> </w:t>
      </w:r>
      <w:r>
        <w:rPr>
          <w:rFonts w:ascii="Arial" w:eastAsia="Times New Roman" w:hAnsi="Arial" w:cs="Arial"/>
          <w:sz w:val="20"/>
          <w:szCs w:val="20"/>
          <w:lang w:eastAsia="ru-RU"/>
        </w:rPr>
        <w:t xml:space="preserve">cu </w:t>
      </w:r>
      <w:proofErr w:type="spellStart"/>
      <w:r>
        <w:rPr>
          <w:rFonts w:ascii="Arial" w:eastAsia="Times New Roman" w:hAnsi="Arial" w:cs="Arial"/>
          <w:sz w:val="20"/>
          <w:szCs w:val="20"/>
          <w:lang w:eastAsia="ru-RU"/>
        </w:rPr>
        <w:t>excepţia</w:t>
      </w:r>
      <w:proofErr w:type="spellEnd"/>
      <w:r>
        <w:rPr>
          <w:rFonts w:ascii="Arial" w:eastAsia="Times New Roman" w:hAnsi="Arial" w:cs="Arial"/>
          <w:sz w:val="20"/>
          <w:szCs w:val="20"/>
          <w:lang w:eastAsia="ru-RU"/>
        </w:rPr>
        <w:t xml:space="preserve"> dacă OGP AE nu va stabili altfel</w:t>
      </w:r>
      <w:r w:rsidRPr="00DF0CA1">
        <w:rPr>
          <w:rFonts w:ascii="Arial" w:eastAsia="Times New Roman" w:hAnsi="Arial" w:cs="Arial"/>
          <w:sz w:val="20"/>
          <w:szCs w:val="20"/>
          <w:lang w:eastAsia="ru-RU"/>
        </w:rPr>
        <w:t>, valoarea și termenul sub-Împrumuturilor vor fi plafonate în dependență de tipul sub-Împrumutului, după cum urmează:</w:t>
      </w:r>
    </w:p>
    <w:p w:rsidR="008C5DE7" w:rsidRDefault="008C5DE7" w:rsidP="008C5DE7">
      <w:pPr>
        <w:shd w:val="clear" w:color="auto" w:fill="FFFFFF"/>
        <w:tabs>
          <w:tab w:val="left" w:pos="270"/>
          <w:tab w:val="center" w:pos="4320"/>
          <w:tab w:val="right" w:pos="8640"/>
        </w:tabs>
        <w:spacing w:after="0"/>
        <w:jc w:val="both"/>
        <w:rPr>
          <w:rFonts w:ascii="Arial" w:eastAsia="Times New Roman" w:hAnsi="Arial" w:cs="Arial"/>
          <w:sz w:val="20"/>
          <w:szCs w:val="20"/>
          <w:lang w:eastAsia="ru-RU"/>
        </w:rPr>
      </w:pPr>
    </w:p>
    <w:p w:rsidR="008C5DE7" w:rsidRDefault="008C5DE7" w:rsidP="008C5DE7">
      <w:pPr>
        <w:numPr>
          <w:ilvl w:val="0"/>
          <w:numId w:val="3"/>
        </w:numPr>
        <w:shd w:val="clear" w:color="auto" w:fill="FFFFFF"/>
        <w:tabs>
          <w:tab w:val="left" w:pos="270"/>
          <w:tab w:val="num" w:pos="1428"/>
          <w:tab w:val="center" w:pos="4153"/>
          <w:tab w:val="right" w:pos="8306"/>
        </w:tabs>
        <w:spacing w:after="0" w:line="240" w:lineRule="auto"/>
        <w:ind w:left="1428"/>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Sub-Împrumuturile pentru Sub-proiectele investiționale vor avea valoarea maximă de până la echivalentul a </w:t>
      </w:r>
      <w:r>
        <w:rPr>
          <w:rFonts w:ascii="Arial" w:eastAsia="Times New Roman" w:hAnsi="Arial" w:cs="Arial"/>
          <w:b/>
          <w:sz w:val="20"/>
          <w:szCs w:val="20"/>
          <w:lang w:eastAsia="ru-RU"/>
        </w:rPr>
        <w:t>800 mii. Euro</w:t>
      </w:r>
      <w:r>
        <w:rPr>
          <w:rFonts w:ascii="Arial" w:eastAsia="Times New Roman" w:hAnsi="Arial" w:cs="Arial"/>
          <w:sz w:val="20"/>
          <w:szCs w:val="20"/>
          <w:lang w:eastAsia="ru-RU"/>
        </w:rPr>
        <w:t xml:space="preserve">, cu maturitatea de până </w:t>
      </w:r>
      <w:r>
        <w:rPr>
          <w:rFonts w:ascii="Arial" w:eastAsia="Times New Roman" w:hAnsi="Arial" w:cs="Arial"/>
          <w:b/>
          <w:sz w:val="20"/>
          <w:szCs w:val="20"/>
          <w:lang w:eastAsia="ru-RU"/>
        </w:rPr>
        <w:t>la 7 (șapte) ani</w:t>
      </w:r>
      <w:r>
        <w:rPr>
          <w:rFonts w:ascii="Arial" w:eastAsia="Times New Roman" w:hAnsi="Arial" w:cs="Arial"/>
          <w:sz w:val="20"/>
          <w:szCs w:val="20"/>
          <w:lang w:eastAsia="ru-RU"/>
        </w:rPr>
        <w:t>.</w:t>
      </w:r>
      <w:r>
        <w:rPr>
          <w:rFonts w:ascii="Arial" w:eastAsia="Times New Roman" w:hAnsi="Arial" w:cs="Arial"/>
          <w:sz w:val="20"/>
          <w:szCs w:val="20"/>
          <w:lang w:eastAsia="ru-RU"/>
        </w:rPr>
        <w:tab/>
      </w:r>
      <w:r>
        <w:rPr>
          <w:rFonts w:ascii="Arial" w:eastAsia="Times New Roman" w:hAnsi="Arial" w:cs="Arial"/>
          <w:sz w:val="20"/>
          <w:szCs w:val="20"/>
          <w:lang w:eastAsia="ru-RU"/>
        </w:rPr>
        <w:tab/>
      </w:r>
    </w:p>
    <w:p w:rsidR="008C5DE7" w:rsidRDefault="008C5DE7" w:rsidP="008C5DE7">
      <w:pPr>
        <w:numPr>
          <w:ilvl w:val="0"/>
          <w:numId w:val="3"/>
        </w:numPr>
        <w:shd w:val="clear" w:color="auto" w:fill="FFFFFF"/>
        <w:tabs>
          <w:tab w:val="left" w:pos="270"/>
          <w:tab w:val="num" w:pos="1428"/>
          <w:tab w:val="center" w:pos="4153"/>
          <w:tab w:val="right" w:pos="8306"/>
        </w:tabs>
        <w:spacing w:after="0" w:line="240" w:lineRule="auto"/>
        <w:ind w:left="1428"/>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Sub-Împrumuturile pentru finanțarea capitalului circulant independent vor constitui până la echivalentul a </w:t>
      </w:r>
      <w:r>
        <w:rPr>
          <w:rFonts w:ascii="Arial" w:eastAsia="Times New Roman" w:hAnsi="Arial" w:cs="Arial"/>
          <w:b/>
          <w:sz w:val="20"/>
          <w:szCs w:val="20"/>
          <w:lang w:eastAsia="ru-RU"/>
        </w:rPr>
        <w:t>400 mii.</w:t>
      </w:r>
      <w:r>
        <w:rPr>
          <w:rFonts w:ascii="Arial" w:eastAsia="Times New Roman" w:hAnsi="Arial" w:cs="Arial"/>
          <w:sz w:val="20"/>
          <w:szCs w:val="20"/>
          <w:lang w:eastAsia="ru-RU"/>
        </w:rPr>
        <w:t xml:space="preserve"> </w:t>
      </w:r>
      <w:r>
        <w:rPr>
          <w:rFonts w:ascii="Arial" w:eastAsia="Times New Roman" w:hAnsi="Arial" w:cs="Arial"/>
          <w:b/>
          <w:sz w:val="20"/>
          <w:szCs w:val="20"/>
          <w:lang w:eastAsia="ru-RU"/>
        </w:rPr>
        <w:t>Euro</w:t>
      </w:r>
      <w:r>
        <w:rPr>
          <w:rFonts w:ascii="Arial" w:eastAsia="Times New Roman" w:hAnsi="Arial" w:cs="Arial"/>
          <w:sz w:val="20"/>
          <w:szCs w:val="20"/>
          <w:lang w:eastAsia="ru-RU"/>
        </w:rPr>
        <w:t xml:space="preserve">, cu  maturitatea de până la </w:t>
      </w:r>
      <w:r>
        <w:rPr>
          <w:rFonts w:ascii="Arial" w:eastAsia="Times New Roman" w:hAnsi="Arial" w:cs="Arial"/>
          <w:b/>
          <w:sz w:val="20"/>
          <w:szCs w:val="20"/>
          <w:lang w:eastAsia="ru-RU"/>
        </w:rPr>
        <w:t>4 (patru) ani</w:t>
      </w:r>
      <w:r>
        <w:rPr>
          <w:rFonts w:ascii="Arial" w:eastAsia="Times New Roman" w:hAnsi="Arial" w:cs="Arial"/>
          <w:sz w:val="20"/>
          <w:szCs w:val="20"/>
          <w:lang w:eastAsia="ru-RU"/>
        </w:rPr>
        <w:t>;</w:t>
      </w:r>
    </w:p>
    <w:p w:rsidR="008C5DE7" w:rsidRDefault="008C5DE7" w:rsidP="008C5DE7">
      <w:pPr>
        <w:numPr>
          <w:ilvl w:val="0"/>
          <w:numId w:val="3"/>
        </w:numPr>
        <w:shd w:val="clear" w:color="auto" w:fill="FFFFFF"/>
        <w:tabs>
          <w:tab w:val="left" w:pos="270"/>
          <w:tab w:val="num" w:pos="1428"/>
          <w:tab w:val="center" w:pos="4153"/>
          <w:tab w:val="right" w:pos="8306"/>
        </w:tabs>
        <w:spacing w:after="0" w:line="240" w:lineRule="auto"/>
        <w:ind w:left="1428"/>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Un beneficiar poate contracta mai multe Sub-împrumuturi, suma cărora nu va depăși echivalentul </w:t>
      </w:r>
      <w:r>
        <w:rPr>
          <w:rFonts w:ascii="Arial" w:eastAsia="Times New Roman" w:hAnsi="Arial" w:cs="Arial"/>
          <w:b/>
          <w:sz w:val="20"/>
          <w:szCs w:val="20"/>
          <w:lang w:eastAsia="ru-RU"/>
        </w:rPr>
        <w:t xml:space="preserve">a 2.0 </w:t>
      </w:r>
      <w:proofErr w:type="spellStart"/>
      <w:r>
        <w:rPr>
          <w:rFonts w:ascii="Arial" w:eastAsia="Times New Roman" w:hAnsi="Arial" w:cs="Arial"/>
          <w:b/>
          <w:sz w:val="20"/>
          <w:szCs w:val="20"/>
          <w:lang w:eastAsia="ru-RU"/>
        </w:rPr>
        <w:t>mln</w:t>
      </w:r>
      <w:proofErr w:type="spellEnd"/>
      <w:r>
        <w:rPr>
          <w:rFonts w:ascii="Arial" w:eastAsia="Times New Roman" w:hAnsi="Arial" w:cs="Arial"/>
          <w:b/>
          <w:sz w:val="20"/>
          <w:szCs w:val="20"/>
          <w:lang w:eastAsia="ru-RU"/>
        </w:rPr>
        <w:t>. Euro</w:t>
      </w:r>
      <w:r>
        <w:rPr>
          <w:rFonts w:ascii="Arial" w:eastAsia="Times New Roman" w:hAnsi="Arial" w:cs="Arial"/>
          <w:sz w:val="20"/>
          <w:szCs w:val="20"/>
          <w:lang w:eastAsia="ru-RU"/>
        </w:rPr>
        <w:t xml:space="preserve"> la data primirii cererilor de finanțare de către OGP AE. </w:t>
      </w:r>
    </w:p>
    <w:p w:rsidR="008C5DE7" w:rsidRDefault="008C5DE7" w:rsidP="008C5DE7">
      <w:pPr>
        <w:widowControl w:val="0"/>
        <w:shd w:val="clear" w:color="auto" w:fill="FFFFFF"/>
        <w:tabs>
          <w:tab w:val="left" w:pos="720"/>
          <w:tab w:val="left" w:pos="1440"/>
        </w:tabs>
        <w:spacing w:after="0" w:line="240" w:lineRule="auto"/>
        <w:ind w:left="1800"/>
        <w:jc w:val="both"/>
        <w:rPr>
          <w:rFonts w:ascii="Arial" w:eastAsia="Times New Roman" w:hAnsi="Arial" w:cs="Arial"/>
          <w:sz w:val="20"/>
          <w:szCs w:val="20"/>
          <w:lang w:eastAsia="ru-RU"/>
        </w:rPr>
      </w:pPr>
    </w:p>
    <w:p w:rsidR="008C5DE7" w:rsidRPr="00DF0CA1" w:rsidRDefault="008C5DE7" w:rsidP="008C5DE7">
      <w:pPr>
        <w:spacing w:before="120" w:after="120" w:line="240" w:lineRule="auto"/>
        <w:ind w:left="360"/>
        <w:jc w:val="both"/>
        <w:rPr>
          <w:rFonts w:ascii="Arial" w:eastAsia="Times New Roman" w:hAnsi="Arial" w:cs="Arial"/>
          <w:sz w:val="20"/>
          <w:szCs w:val="20"/>
        </w:rPr>
      </w:pPr>
      <w:r w:rsidRPr="00DF0CA1">
        <w:rPr>
          <w:rFonts w:ascii="Arial" w:eastAsia="Calibri" w:hAnsi="Arial" w:cs="Arial"/>
          <w:sz w:val="20"/>
          <w:szCs w:val="20"/>
        </w:rPr>
        <w:t xml:space="preserve">Activități neeligibile, care </w:t>
      </w:r>
      <w:r w:rsidRPr="00DF0CA1">
        <w:rPr>
          <w:rFonts w:ascii="Arial" w:eastAsia="Calibri" w:hAnsi="Arial" w:cs="Arial"/>
          <w:sz w:val="20"/>
          <w:szCs w:val="20"/>
          <w:u w:val="single"/>
        </w:rPr>
        <w:t>nu pot fi finanțate</w:t>
      </w:r>
      <w:r w:rsidRPr="00DF0CA1">
        <w:rPr>
          <w:rFonts w:ascii="Arial" w:eastAsia="Calibri" w:hAnsi="Arial" w:cs="Arial"/>
          <w:sz w:val="20"/>
          <w:szCs w:val="20"/>
        </w:rPr>
        <w:t>:</w:t>
      </w:r>
      <w:r w:rsidRPr="00DF0CA1">
        <w:rPr>
          <w:rFonts w:ascii="Arial" w:eastAsia="Times New Roman" w:hAnsi="Arial" w:cs="Arial"/>
          <w:sz w:val="20"/>
          <w:szCs w:val="20"/>
        </w:rPr>
        <w:t xml:space="preserve"> </w:t>
      </w:r>
    </w:p>
    <w:p w:rsidR="008C5DE7" w:rsidRDefault="008C5DE7" w:rsidP="008C5DE7">
      <w:pPr>
        <w:numPr>
          <w:ilvl w:val="0"/>
          <w:numId w:val="4"/>
        </w:numPr>
        <w:shd w:val="clear" w:color="auto" w:fill="FFFFFF"/>
        <w:spacing w:before="120" w:after="120" w:line="240" w:lineRule="auto"/>
        <w:ind w:left="1259" w:hanging="357"/>
        <w:jc w:val="both"/>
        <w:rPr>
          <w:rFonts w:ascii="Arial" w:eastAsia="Times New Roman" w:hAnsi="Arial" w:cs="Arial"/>
          <w:sz w:val="20"/>
          <w:szCs w:val="20"/>
          <w:lang w:eastAsia="ru-RU"/>
        </w:rPr>
      </w:pPr>
      <w:r>
        <w:rPr>
          <w:rFonts w:ascii="Arial" w:eastAsia="Times New Roman" w:hAnsi="Arial" w:cs="Arial"/>
          <w:sz w:val="20"/>
          <w:szCs w:val="20"/>
          <w:lang w:eastAsia="ru-RU"/>
        </w:rPr>
        <w:t>producerea (sau lucrări de construcție, distribuție sau prelucrare) și comerțul cu armament și arme, muniții, echipamente militare sau de poliție, sau infrastructuri, precum și echipamente sau infrastructură care au drept rezultat limitarea drepturilor individuale ale oamenilor și libertatea acestora (de exemplu în închisori, detenție centre de plasament de orice formă) sau prin încălcarea drepturilor omului;</w:t>
      </w:r>
    </w:p>
    <w:p w:rsidR="008C5DE7" w:rsidRDefault="008C5DE7" w:rsidP="008C5DE7">
      <w:pPr>
        <w:numPr>
          <w:ilvl w:val="0"/>
          <w:numId w:val="4"/>
        </w:numPr>
        <w:shd w:val="clear" w:color="auto" w:fill="FFFFFF"/>
        <w:spacing w:before="120" w:after="120" w:line="240" w:lineRule="auto"/>
        <w:ind w:left="1259" w:hanging="357"/>
        <w:jc w:val="both"/>
        <w:rPr>
          <w:rFonts w:ascii="Arial" w:eastAsia="Times New Roman" w:hAnsi="Arial" w:cs="Arial"/>
          <w:sz w:val="20"/>
          <w:szCs w:val="20"/>
          <w:lang w:eastAsia="ru-RU"/>
        </w:rPr>
      </w:pPr>
      <w:r>
        <w:rPr>
          <w:rFonts w:ascii="Arial" w:eastAsia="Times New Roman" w:hAnsi="Arial" w:cs="Arial"/>
          <w:sz w:val="20"/>
          <w:szCs w:val="20"/>
          <w:lang w:eastAsia="ru-RU"/>
        </w:rPr>
        <w:t>producția (sau lucrări de construcție, distribuție sau prelucrare) și comerțul cu jocurile de noroc și a echipamentelor aferente;</w:t>
      </w:r>
    </w:p>
    <w:p w:rsidR="008C5DE7" w:rsidRDefault="008C5DE7" w:rsidP="008C5DE7">
      <w:pPr>
        <w:numPr>
          <w:ilvl w:val="0"/>
          <w:numId w:val="4"/>
        </w:numPr>
        <w:shd w:val="clear" w:color="auto" w:fill="FFFFFF"/>
        <w:spacing w:before="120" w:after="120" w:line="240" w:lineRule="auto"/>
        <w:ind w:left="1259" w:hanging="357"/>
        <w:jc w:val="both"/>
        <w:rPr>
          <w:rFonts w:ascii="Arial" w:eastAsia="Times New Roman" w:hAnsi="Arial" w:cs="Arial"/>
          <w:sz w:val="20"/>
          <w:szCs w:val="20"/>
          <w:lang w:eastAsia="ru-RU"/>
        </w:rPr>
      </w:pPr>
      <w:r>
        <w:rPr>
          <w:rFonts w:ascii="Arial" w:eastAsia="Times New Roman" w:hAnsi="Arial" w:cs="Arial"/>
          <w:sz w:val="20"/>
          <w:szCs w:val="20"/>
          <w:lang w:eastAsia="ru-RU"/>
        </w:rPr>
        <w:t>producția (sau lucrări de construcție), distribuție sau prelucrare) și comerțului cu produse din tutun;</w:t>
      </w:r>
    </w:p>
    <w:p w:rsidR="008C5DE7" w:rsidRDefault="008C5DE7" w:rsidP="008C5DE7">
      <w:pPr>
        <w:numPr>
          <w:ilvl w:val="0"/>
          <w:numId w:val="4"/>
        </w:numPr>
        <w:shd w:val="clear" w:color="auto" w:fill="FFFFFF"/>
        <w:spacing w:before="120" w:after="120" w:line="240" w:lineRule="auto"/>
        <w:ind w:left="1259" w:hanging="357"/>
        <w:jc w:val="both"/>
        <w:rPr>
          <w:rFonts w:ascii="Arial" w:eastAsia="Times New Roman" w:hAnsi="Arial" w:cs="Arial"/>
          <w:sz w:val="20"/>
          <w:szCs w:val="20"/>
          <w:lang w:eastAsia="ru-RU"/>
        </w:rPr>
      </w:pPr>
      <w:r>
        <w:rPr>
          <w:rFonts w:ascii="Arial" w:eastAsia="Times New Roman" w:hAnsi="Arial" w:cs="Arial"/>
          <w:sz w:val="20"/>
          <w:szCs w:val="20"/>
          <w:lang w:eastAsia="ru-RU"/>
        </w:rPr>
        <w:t>activități care implică animale vii în scopuri experimentale și științifice, în măsura în care respectarea Convenției Consiliului Europei pentru protecția animalelor vertebrate utilizate în scopuri experimentale și în alte scopuri științifice nu poate fi garantată;</w:t>
      </w:r>
    </w:p>
    <w:p w:rsidR="008C5DE7" w:rsidRDefault="008C5DE7" w:rsidP="008C5DE7">
      <w:pPr>
        <w:numPr>
          <w:ilvl w:val="0"/>
          <w:numId w:val="4"/>
        </w:numPr>
        <w:shd w:val="clear" w:color="auto" w:fill="FFFFFF"/>
        <w:spacing w:before="120" w:after="120" w:line="240" w:lineRule="auto"/>
        <w:ind w:left="1259" w:hanging="357"/>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activități, care dau naștere la un impact negativ asupra mediului, care nu sunt în mare măsură diminuate și / sau compensate; </w:t>
      </w:r>
    </w:p>
    <w:p w:rsidR="008C5DE7" w:rsidRDefault="008C5DE7" w:rsidP="008C5DE7">
      <w:pPr>
        <w:numPr>
          <w:ilvl w:val="0"/>
          <w:numId w:val="4"/>
        </w:numPr>
        <w:shd w:val="clear" w:color="auto" w:fill="FFFFFF"/>
        <w:spacing w:before="120" w:after="120" w:line="240" w:lineRule="auto"/>
        <w:ind w:left="1259" w:hanging="357"/>
        <w:jc w:val="both"/>
        <w:rPr>
          <w:rFonts w:ascii="Arial" w:eastAsia="Times New Roman" w:hAnsi="Arial" w:cs="Arial"/>
          <w:sz w:val="20"/>
          <w:szCs w:val="20"/>
          <w:lang w:eastAsia="ru-RU"/>
        </w:rPr>
      </w:pPr>
      <w:r>
        <w:rPr>
          <w:rFonts w:ascii="Arial" w:eastAsia="Times New Roman" w:hAnsi="Arial" w:cs="Arial"/>
          <w:sz w:val="20"/>
          <w:szCs w:val="20"/>
          <w:lang w:eastAsia="ru-RU"/>
        </w:rPr>
        <w:t>activități considerate etic sau moral controversate, sau care sunt interzise de legislația națională, de exemplu cercetarea privind clonarea umană s.a.;</w:t>
      </w:r>
    </w:p>
    <w:p w:rsidR="008C5DE7" w:rsidRDefault="008C5DE7" w:rsidP="008C5DE7">
      <w:pPr>
        <w:numPr>
          <w:ilvl w:val="0"/>
          <w:numId w:val="4"/>
        </w:numPr>
        <w:shd w:val="clear" w:color="auto" w:fill="FFFFFF"/>
        <w:spacing w:before="120" w:after="120" w:line="240" w:lineRule="auto"/>
        <w:ind w:left="1259" w:hanging="357"/>
        <w:jc w:val="both"/>
        <w:rPr>
          <w:rFonts w:ascii="Arial" w:eastAsia="Times New Roman" w:hAnsi="Arial" w:cs="Arial"/>
          <w:sz w:val="20"/>
          <w:szCs w:val="20"/>
          <w:lang w:eastAsia="ru-RU"/>
        </w:rPr>
      </w:pPr>
      <w:r>
        <w:rPr>
          <w:rFonts w:ascii="Arial" w:eastAsia="Times New Roman" w:hAnsi="Arial" w:cs="Arial"/>
          <w:sz w:val="20"/>
          <w:szCs w:val="20"/>
          <w:lang w:eastAsia="ru-RU"/>
        </w:rPr>
        <w:t>activitatea pură de dezvoltare imobiliara;</w:t>
      </w:r>
    </w:p>
    <w:p w:rsidR="008C5DE7" w:rsidRDefault="008C5DE7" w:rsidP="008C5DE7">
      <w:pPr>
        <w:numPr>
          <w:ilvl w:val="0"/>
          <w:numId w:val="4"/>
        </w:numPr>
        <w:shd w:val="clear" w:color="auto" w:fill="FFFFFF"/>
        <w:spacing w:before="120" w:after="120" w:line="240" w:lineRule="auto"/>
        <w:ind w:left="1259" w:hanging="357"/>
        <w:jc w:val="both"/>
        <w:rPr>
          <w:rFonts w:ascii="Arial" w:eastAsia="Times New Roman" w:hAnsi="Arial" w:cs="Arial"/>
          <w:sz w:val="20"/>
          <w:szCs w:val="20"/>
          <w:lang w:eastAsia="ru-RU"/>
        </w:rPr>
      </w:pPr>
      <w:r>
        <w:rPr>
          <w:rFonts w:ascii="Arial" w:eastAsia="Times New Roman" w:hAnsi="Arial" w:cs="Arial"/>
          <w:sz w:val="20"/>
          <w:szCs w:val="20"/>
          <w:lang w:eastAsia="ru-RU"/>
        </w:rPr>
        <w:t>activități financiare pure și investiții în instrumente financiare.</w:t>
      </w:r>
    </w:p>
    <w:p w:rsidR="008C5DE7" w:rsidRPr="00DF0CA1" w:rsidRDefault="008C5DE7" w:rsidP="008C5DE7">
      <w:pPr>
        <w:spacing w:after="0" w:line="240" w:lineRule="auto"/>
        <w:ind w:left="360"/>
        <w:jc w:val="both"/>
        <w:rPr>
          <w:rFonts w:ascii="Arial" w:eastAsia="Times New Roman" w:hAnsi="Arial" w:cs="Arial"/>
          <w:sz w:val="20"/>
          <w:szCs w:val="20"/>
          <w:lang w:eastAsia="ru-RU"/>
        </w:rPr>
      </w:pPr>
    </w:p>
    <w:p w:rsidR="008C5DE7" w:rsidRPr="00DF0CA1" w:rsidRDefault="008C5DE7" w:rsidP="008C5DE7">
      <w:pPr>
        <w:spacing w:after="0" w:line="240" w:lineRule="auto"/>
        <w:jc w:val="both"/>
        <w:rPr>
          <w:rFonts w:ascii="Arial" w:eastAsia="Calibri" w:hAnsi="Arial" w:cs="Arial"/>
          <w:sz w:val="20"/>
          <w:szCs w:val="20"/>
        </w:rPr>
      </w:pPr>
      <w:r w:rsidRPr="00DF0CA1">
        <w:rPr>
          <w:rFonts w:ascii="Arial" w:eastAsia="Times New Roman" w:hAnsi="Arial" w:cs="Arial"/>
          <w:sz w:val="20"/>
          <w:szCs w:val="20"/>
          <w:lang w:eastAsia="ru-RU"/>
        </w:rPr>
        <w:t xml:space="preserve">Pentru transparenta costurilor fondurilor, ratele de recreditare de stat pentru IFP sunt plasate periodic pe pagina web a Ministerului Finanțelor </w:t>
      </w:r>
      <w:hyperlink r:id="rId6" w:history="1">
        <w:r w:rsidRPr="00412482">
          <w:rPr>
            <w:rStyle w:val="Hyperlink"/>
            <w:rFonts w:ascii="Arial" w:eastAsia="Calibri" w:hAnsi="Arial" w:cs="Arial"/>
            <w:sz w:val="20"/>
            <w:szCs w:val="20"/>
            <w:lang w:eastAsia="ru-RU"/>
          </w:rPr>
          <w:t>http://mf.gov.md/ro/datoria-sectorului-public/oficiul</w:t>
        </w:r>
      </w:hyperlink>
      <w:r w:rsidRPr="00B630EA">
        <w:rPr>
          <w:rFonts w:ascii="Arial" w:eastAsia="Times New Roman" w:hAnsi="Arial" w:cs="Arial"/>
          <w:sz w:val="20"/>
          <w:szCs w:val="20"/>
          <w:u w:val="single"/>
          <w:lang w:eastAsia="ru-RU"/>
        </w:rPr>
        <w:t xml:space="preserve"> </w:t>
      </w:r>
      <w:r w:rsidRPr="00B630EA">
        <w:rPr>
          <w:rFonts w:ascii="Arial" w:eastAsia="Times New Roman" w:hAnsi="Arial" w:cs="Arial"/>
          <w:color w:val="0070C0"/>
          <w:sz w:val="20"/>
          <w:szCs w:val="20"/>
          <w:u w:val="single"/>
          <w:lang w:eastAsia="ru-RU"/>
        </w:rPr>
        <w:t>de gestionare a programelor de asistenta externa</w:t>
      </w:r>
      <w:r>
        <w:rPr>
          <w:rFonts w:ascii="Arial" w:eastAsia="Times New Roman" w:hAnsi="Arial" w:cs="Arial"/>
          <w:color w:val="0070C0"/>
          <w:sz w:val="20"/>
          <w:szCs w:val="20"/>
          <w:u w:val="single"/>
          <w:lang w:eastAsia="ru-RU"/>
        </w:rPr>
        <w:t xml:space="preserve"> si a OGPAE </w:t>
      </w:r>
      <w:r w:rsidRPr="00BD5974">
        <w:rPr>
          <w:rFonts w:ascii="Arial" w:eastAsia="Times New Roman" w:hAnsi="Arial" w:cs="Arial"/>
          <w:color w:val="0070C0"/>
          <w:sz w:val="20"/>
          <w:szCs w:val="20"/>
          <w:u w:val="single"/>
          <w:lang w:eastAsia="ru-RU"/>
        </w:rPr>
        <w:t>http://</w:t>
      </w:r>
      <w:r>
        <w:rPr>
          <w:rFonts w:ascii="Arial" w:eastAsia="Times New Roman" w:hAnsi="Arial" w:cs="Arial"/>
          <w:color w:val="0070C0"/>
          <w:sz w:val="20"/>
          <w:szCs w:val="20"/>
          <w:u w:val="single"/>
          <w:lang w:eastAsia="ru-RU"/>
        </w:rPr>
        <w:t>ogpae</w:t>
      </w:r>
      <w:r w:rsidRPr="00BD5974">
        <w:rPr>
          <w:rFonts w:ascii="Arial" w:eastAsia="Times New Roman" w:hAnsi="Arial" w:cs="Arial"/>
          <w:color w:val="0070C0"/>
          <w:sz w:val="20"/>
          <w:szCs w:val="20"/>
          <w:u w:val="single"/>
          <w:lang w:eastAsia="ru-RU"/>
        </w:rPr>
        <w:t>.gov.md</w:t>
      </w:r>
      <w:r>
        <w:rPr>
          <w:rFonts w:ascii="Arial" w:eastAsia="Times New Roman" w:hAnsi="Arial" w:cs="Arial"/>
          <w:color w:val="0070C0"/>
          <w:sz w:val="20"/>
          <w:szCs w:val="20"/>
          <w:u w:val="single"/>
          <w:lang w:eastAsia="ru-RU"/>
        </w:rPr>
        <w:t xml:space="preserve"> . </w:t>
      </w:r>
      <w:r w:rsidRPr="00DF0CA1">
        <w:rPr>
          <w:rFonts w:ascii="Arial" w:eastAsia="Times New Roman" w:hAnsi="Arial" w:cs="Arial"/>
          <w:sz w:val="20"/>
          <w:szCs w:val="20"/>
          <w:lang w:eastAsia="ru-RU"/>
        </w:rPr>
        <w:t>Pentru accesarea unui sub-împrumut beneficiarii potențiali se pot adresa la Unitatea de Implementare a Proiectului (</w:t>
      </w:r>
      <w:r w:rsidRPr="00DF0CA1">
        <w:rPr>
          <w:rFonts w:ascii="Arial" w:eastAsia="Calibri" w:hAnsi="Arial" w:cs="Arial"/>
          <w:sz w:val="20"/>
          <w:szCs w:val="20"/>
        </w:rPr>
        <w:t xml:space="preserve">UCIMPRSVV) pentru consultări generale. </w:t>
      </w:r>
    </w:p>
    <w:p w:rsidR="008C5DE7" w:rsidRPr="00DF0CA1" w:rsidRDefault="008C5DE7" w:rsidP="008C5DE7">
      <w:pPr>
        <w:spacing w:after="0" w:line="240" w:lineRule="auto"/>
        <w:jc w:val="both"/>
        <w:rPr>
          <w:rFonts w:ascii="Arial" w:eastAsia="Times New Roman" w:hAnsi="Arial" w:cs="Arial"/>
          <w:sz w:val="20"/>
          <w:szCs w:val="20"/>
          <w:lang w:eastAsia="ru-RU"/>
        </w:rPr>
      </w:pPr>
      <w:r w:rsidRPr="00DF0CA1">
        <w:rPr>
          <w:rFonts w:ascii="Arial" w:eastAsia="Calibri" w:hAnsi="Arial" w:cs="Arial"/>
          <w:sz w:val="20"/>
          <w:szCs w:val="20"/>
        </w:rPr>
        <w:t xml:space="preserve">Pentru negocierea condițiilor și contractarea sub-împrumutului  beneficiarii trebuie să se adreseze la IFP eligibile menționate, cu care Ministerul Finanțelor a semnat Acorduri de Recreditare a fondurilor Proiectului.  </w:t>
      </w:r>
    </w:p>
    <w:p w:rsidR="008C5DE7" w:rsidRPr="00DF0CA1" w:rsidRDefault="008C5DE7" w:rsidP="008C5DE7">
      <w:pPr>
        <w:spacing w:after="0" w:line="240" w:lineRule="auto"/>
        <w:jc w:val="both"/>
        <w:rPr>
          <w:rFonts w:ascii="Arial" w:eastAsia="Times New Roman" w:hAnsi="Arial" w:cs="Arial"/>
          <w:b/>
          <w:sz w:val="20"/>
          <w:szCs w:val="20"/>
          <w:lang w:eastAsia="ru-RU"/>
        </w:rPr>
      </w:pPr>
    </w:p>
    <w:p w:rsidR="008C5DE7" w:rsidRPr="00DF0CA1" w:rsidRDefault="008C5DE7" w:rsidP="008C5DE7">
      <w:pPr>
        <w:spacing w:after="0" w:line="240" w:lineRule="auto"/>
        <w:jc w:val="both"/>
        <w:rPr>
          <w:rFonts w:ascii="Arial" w:eastAsia="Calibri" w:hAnsi="Arial" w:cs="Arial"/>
          <w:sz w:val="20"/>
          <w:szCs w:val="20"/>
        </w:rPr>
      </w:pPr>
      <w:r>
        <w:rPr>
          <w:rFonts w:ascii="Arial" w:eastAsia="Times New Roman" w:hAnsi="Arial" w:cs="Arial"/>
          <w:sz w:val="20"/>
          <w:szCs w:val="20"/>
          <w:lang w:eastAsia="ru-RU"/>
        </w:rPr>
        <w:t>Oficiul de Gestionare a Programelor de Asistenta Externa</w:t>
      </w:r>
      <w:r w:rsidRPr="00DF0CA1">
        <w:rPr>
          <w:rFonts w:ascii="Arial" w:eastAsia="Times New Roman" w:hAnsi="Arial" w:cs="Arial"/>
          <w:sz w:val="20"/>
          <w:szCs w:val="20"/>
          <w:lang w:eastAsia="ru-RU"/>
        </w:rPr>
        <w:t xml:space="preserve"> (</w:t>
      </w:r>
      <w:r>
        <w:rPr>
          <w:rFonts w:ascii="Arial" w:eastAsia="Times New Roman" w:hAnsi="Arial" w:cs="Arial"/>
          <w:sz w:val="20"/>
          <w:szCs w:val="20"/>
          <w:lang w:eastAsia="ru-RU"/>
        </w:rPr>
        <w:t>OGPAE</w:t>
      </w:r>
      <w:r w:rsidRPr="00DF0CA1">
        <w:rPr>
          <w:rFonts w:ascii="Arial" w:eastAsia="Times New Roman" w:hAnsi="Arial" w:cs="Arial"/>
          <w:sz w:val="20"/>
          <w:szCs w:val="20"/>
          <w:lang w:eastAsia="ru-RU"/>
        </w:rPr>
        <w:t xml:space="preserve">) este responsabil de </w:t>
      </w:r>
      <w:r w:rsidRPr="00DF0CA1">
        <w:rPr>
          <w:rFonts w:ascii="Arial" w:eastAsia="Calibri" w:hAnsi="Arial" w:cs="Arial"/>
          <w:sz w:val="20"/>
          <w:szCs w:val="20"/>
        </w:rPr>
        <w:t xml:space="preserve">consolidarea cererilor IFP și UCIMPRSVV de finanțare,  </w:t>
      </w:r>
      <w:r w:rsidRPr="00DF0CA1">
        <w:rPr>
          <w:rFonts w:ascii="Arial" w:eastAsia="Times New Roman" w:hAnsi="Arial" w:cs="Arial"/>
          <w:sz w:val="20"/>
          <w:szCs w:val="20"/>
          <w:lang w:eastAsia="ru-RU"/>
        </w:rPr>
        <w:t>verificarea și aprobarea tragerilor fondurilor în cadrul Liniei de Credit, verificarea r</w:t>
      </w:r>
      <w:r w:rsidRPr="00DF0CA1">
        <w:rPr>
          <w:rFonts w:ascii="Arial" w:eastAsia="Calibri" w:hAnsi="Arial" w:cs="Arial"/>
          <w:sz w:val="20"/>
          <w:szCs w:val="20"/>
        </w:rPr>
        <w:t xml:space="preserve">espectării de către IFP a termenilor și condițiilor Acordurilor de Recreditare semnate de acestea cu Ministerul Finanțelor, a condițiilor Manualelor Operaționale ale Liniei de Credit, evidența, calcularea </w:t>
      </w:r>
      <w:proofErr w:type="spellStart"/>
      <w:r w:rsidRPr="00DF0CA1">
        <w:rPr>
          <w:rFonts w:ascii="Arial" w:eastAsia="Calibri" w:hAnsi="Arial" w:cs="Arial"/>
          <w:sz w:val="20"/>
          <w:szCs w:val="20"/>
        </w:rPr>
        <w:t>şi</w:t>
      </w:r>
      <w:proofErr w:type="spellEnd"/>
      <w:r w:rsidRPr="00DF0CA1">
        <w:rPr>
          <w:rFonts w:ascii="Arial" w:eastAsia="Calibri" w:hAnsi="Arial" w:cs="Arial"/>
          <w:sz w:val="20"/>
          <w:szCs w:val="20"/>
        </w:rPr>
        <w:t xml:space="preserve"> colectarea plăților de la IFP de rambursare a sumelor principale </w:t>
      </w:r>
      <w:proofErr w:type="spellStart"/>
      <w:r w:rsidRPr="00DF0CA1">
        <w:rPr>
          <w:rFonts w:ascii="Arial" w:eastAsia="Calibri" w:hAnsi="Arial" w:cs="Arial"/>
          <w:sz w:val="20"/>
          <w:szCs w:val="20"/>
        </w:rPr>
        <w:t>recreditate</w:t>
      </w:r>
      <w:proofErr w:type="spellEnd"/>
      <w:r w:rsidRPr="00DF0CA1">
        <w:rPr>
          <w:rFonts w:ascii="Arial" w:eastAsia="Calibri" w:hAnsi="Arial" w:cs="Arial"/>
          <w:sz w:val="20"/>
          <w:szCs w:val="20"/>
        </w:rPr>
        <w:t xml:space="preserve"> și de achitare a dobânzilor aferente.</w:t>
      </w:r>
    </w:p>
    <w:p w:rsidR="008C5DE7" w:rsidRPr="00DF0CA1" w:rsidRDefault="008C5DE7" w:rsidP="008C5DE7">
      <w:pPr>
        <w:spacing w:after="0" w:line="240" w:lineRule="auto"/>
        <w:ind w:left="360"/>
        <w:jc w:val="both"/>
        <w:rPr>
          <w:rFonts w:ascii="Arial" w:eastAsia="Times New Roman" w:hAnsi="Arial" w:cs="Arial"/>
          <w:sz w:val="20"/>
          <w:szCs w:val="20"/>
          <w:lang w:eastAsia="ru-RU"/>
        </w:rPr>
      </w:pPr>
    </w:p>
    <w:p w:rsidR="008C5DE7" w:rsidRPr="00DF0CA1" w:rsidRDefault="008C5DE7" w:rsidP="008C5DE7">
      <w:pPr>
        <w:spacing w:after="0" w:line="240" w:lineRule="auto"/>
        <w:rPr>
          <w:rFonts w:ascii="Arial" w:eastAsia="Times New Roman" w:hAnsi="Arial" w:cs="Arial"/>
          <w:sz w:val="20"/>
          <w:szCs w:val="20"/>
          <w:lang w:eastAsia="ru-RU"/>
        </w:rPr>
      </w:pPr>
      <w:r w:rsidRPr="00B630EA">
        <w:rPr>
          <w:rFonts w:ascii="Arial" w:eastAsia="Times New Roman" w:hAnsi="Arial" w:cs="Arial"/>
          <w:sz w:val="20"/>
          <w:szCs w:val="20"/>
          <w:lang w:eastAsia="ru-RU"/>
        </w:rPr>
        <w:t>Oficiul de Gestionare a Programelor de Asistenta Externa</w:t>
      </w:r>
      <w:r w:rsidRPr="00DF0CA1">
        <w:rPr>
          <w:rFonts w:ascii="Arial" w:eastAsia="Times New Roman" w:hAnsi="Arial" w:cs="Arial"/>
          <w:sz w:val="20"/>
          <w:szCs w:val="20"/>
          <w:lang w:eastAsia="ru-RU"/>
        </w:rPr>
        <w:t xml:space="preserve">.  Tel. +373 22 238246. Fax: +373 22 238248. </w:t>
      </w:r>
    </w:p>
    <w:p w:rsidR="008C5DE7" w:rsidRDefault="008C5DE7" w:rsidP="008C5DE7">
      <w:pPr>
        <w:spacing w:after="0" w:line="240" w:lineRule="auto"/>
      </w:pPr>
      <w:r w:rsidRPr="00DF0CA1">
        <w:rPr>
          <w:rFonts w:ascii="Arial" w:eastAsia="Times New Roman" w:hAnsi="Arial" w:cs="Arial"/>
          <w:sz w:val="18"/>
          <w:szCs w:val="18"/>
          <w:lang w:eastAsia="ru-RU"/>
        </w:rPr>
        <w:t xml:space="preserve">Ultima actualizare: </w:t>
      </w:r>
      <w:r>
        <w:rPr>
          <w:rFonts w:ascii="Arial" w:eastAsia="Times New Roman" w:hAnsi="Arial" w:cs="Arial"/>
          <w:sz w:val="18"/>
          <w:szCs w:val="18"/>
          <w:lang w:eastAsia="ru-RU"/>
        </w:rPr>
        <w:t>30</w:t>
      </w:r>
      <w:r w:rsidRPr="00DF0CA1">
        <w:rPr>
          <w:rFonts w:ascii="Arial" w:eastAsia="Times New Roman" w:hAnsi="Arial" w:cs="Arial"/>
          <w:sz w:val="18"/>
          <w:szCs w:val="18"/>
          <w:lang w:eastAsia="ru-RU"/>
        </w:rPr>
        <w:t>.0</w:t>
      </w:r>
      <w:r>
        <w:rPr>
          <w:rFonts w:ascii="Arial" w:eastAsia="Times New Roman" w:hAnsi="Arial" w:cs="Arial"/>
          <w:sz w:val="18"/>
          <w:szCs w:val="18"/>
          <w:lang w:eastAsia="ru-RU"/>
        </w:rPr>
        <w:t>6</w:t>
      </w:r>
      <w:r w:rsidRPr="00DF0CA1">
        <w:rPr>
          <w:rFonts w:ascii="Arial" w:eastAsia="Times New Roman" w:hAnsi="Arial" w:cs="Arial"/>
          <w:sz w:val="18"/>
          <w:szCs w:val="18"/>
          <w:lang w:eastAsia="ru-RU"/>
        </w:rPr>
        <w:t>.202</w:t>
      </w:r>
      <w:r>
        <w:rPr>
          <w:rFonts w:ascii="Arial" w:eastAsia="Times New Roman" w:hAnsi="Arial" w:cs="Arial"/>
          <w:sz w:val="18"/>
          <w:szCs w:val="18"/>
          <w:lang w:eastAsia="ru-RU"/>
        </w:rPr>
        <w:t>2</w:t>
      </w:r>
      <w:bookmarkStart w:id="3" w:name="_GoBack"/>
      <w:bookmarkEnd w:id="3"/>
      <w:r w:rsidRPr="00DF0CA1">
        <w:rPr>
          <w:rFonts w:ascii="Arial" w:eastAsia="Times New Roman" w:hAnsi="Arial" w:cs="Arial"/>
          <w:sz w:val="18"/>
          <w:szCs w:val="18"/>
          <w:lang w:eastAsia="ru-RU"/>
        </w:rPr>
        <w:t xml:space="preserve"> </w:t>
      </w:r>
    </w:p>
    <w:p w:rsidR="001D5FEB" w:rsidRDefault="008C5DE7"/>
    <w:sectPr w:rsidR="001D5FEB">
      <w:pgSz w:w="12240" w:h="15840"/>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03A5F"/>
    <w:multiLevelType w:val="hybridMultilevel"/>
    <w:tmpl w:val="F9200D3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74600D1"/>
    <w:multiLevelType w:val="hybridMultilevel"/>
    <w:tmpl w:val="3A763494"/>
    <w:lvl w:ilvl="0" w:tplc="63D424BA">
      <w:start w:val="1"/>
      <w:numFmt w:val="lowerRoman"/>
      <w:lvlText w:val="(%1)"/>
      <w:lvlJc w:val="left"/>
      <w:pPr>
        <w:tabs>
          <w:tab w:val="num" w:pos="1530"/>
        </w:tabs>
        <w:ind w:left="1530" w:hanging="720"/>
      </w:pPr>
      <w:rPr>
        <w:rFonts w:cs="Times New Roman"/>
        <w:color w:val="000000"/>
      </w:rPr>
    </w:lvl>
    <w:lvl w:ilvl="1" w:tplc="04190019">
      <w:start w:val="1"/>
      <w:numFmt w:val="lowerLetter"/>
      <w:lvlText w:val="%2."/>
      <w:lvlJc w:val="left"/>
      <w:pPr>
        <w:tabs>
          <w:tab w:val="num" w:pos="1830"/>
        </w:tabs>
        <w:ind w:left="1830" w:hanging="360"/>
      </w:pPr>
      <w:rPr>
        <w:rFonts w:cs="Times New Roman"/>
      </w:rPr>
    </w:lvl>
    <w:lvl w:ilvl="2" w:tplc="0419001B">
      <w:start w:val="1"/>
      <w:numFmt w:val="lowerRoman"/>
      <w:lvlText w:val="%3."/>
      <w:lvlJc w:val="right"/>
      <w:pPr>
        <w:tabs>
          <w:tab w:val="num" w:pos="2550"/>
        </w:tabs>
        <w:ind w:left="2550" w:hanging="180"/>
      </w:pPr>
      <w:rPr>
        <w:rFonts w:cs="Times New Roman"/>
      </w:rPr>
    </w:lvl>
    <w:lvl w:ilvl="3" w:tplc="0419000F">
      <w:start w:val="1"/>
      <w:numFmt w:val="decimal"/>
      <w:lvlText w:val="%4."/>
      <w:lvlJc w:val="left"/>
      <w:pPr>
        <w:tabs>
          <w:tab w:val="num" w:pos="3270"/>
        </w:tabs>
        <w:ind w:left="3270" w:hanging="360"/>
      </w:pPr>
      <w:rPr>
        <w:rFonts w:cs="Times New Roman"/>
      </w:rPr>
    </w:lvl>
    <w:lvl w:ilvl="4" w:tplc="04190019">
      <w:start w:val="1"/>
      <w:numFmt w:val="lowerLetter"/>
      <w:lvlText w:val="%5."/>
      <w:lvlJc w:val="left"/>
      <w:pPr>
        <w:tabs>
          <w:tab w:val="num" w:pos="3990"/>
        </w:tabs>
        <w:ind w:left="3990" w:hanging="360"/>
      </w:pPr>
      <w:rPr>
        <w:rFonts w:cs="Times New Roman"/>
      </w:rPr>
    </w:lvl>
    <w:lvl w:ilvl="5" w:tplc="0419001B">
      <w:start w:val="1"/>
      <w:numFmt w:val="lowerRoman"/>
      <w:lvlText w:val="%6."/>
      <w:lvlJc w:val="right"/>
      <w:pPr>
        <w:tabs>
          <w:tab w:val="num" w:pos="4710"/>
        </w:tabs>
        <w:ind w:left="4710" w:hanging="180"/>
      </w:pPr>
      <w:rPr>
        <w:rFonts w:cs="Times New Roman"/>
      </w:rPr>
    </w:lvl>
    <w:lvl w:ilvl="6" w:tplc="0419000F">
      <w:start w:val="1"/>
      <w:numFmt w:val="decimal"/>
      <w:lvlText w:val="%7."/>
      <w:lvlJc w:val="left"/>
      <w:pPr>
        <w:tabs>
          <w:tab w:val="num" w:pos="5430"/>
        </w:tabs>
        <w:ind w:left="5430" w:hanging="360"/>
      </w:pPr>
      <w:rPr>
        <w:rFonts w:cs="Times New Roman"/>
      </w:rPr>
    </w:lvl>
    <w:lvl w:ilvl="7" w:tplc="04190019">
      <w:start w:val="1"/>
      <w:numFmt w:val="lowerLetter"/>
      <w:lvlText w:val="%8."/>
      <w:lvlJc w:val="left"/>
      <w:pPr>
        <w:tabs>
          <w:tab w:val="num" w:pos="6150"/>
        </w:tabs>
        <w:ind w:left="6150" w:hanging="360"/>
      </w:pPr>
      <w:rPr>
        <w:rFonts w:cs="Times New Roman"/>
      </w:rPr>
    </w:lvl>
    <w:lvl w:ilvl="8" w:tplc="0419001B">
      <w:start w:val="1"/>
      <w:numFmt w:val="lowerRoman"/>
      <w:lvlText w:val="%9."/>
      <w:lvlJc w:val="right"/>
      <w:pPr>
        <w:tabs>
          <w:tab w:val="num" w:pos="6870"/>
        </w:tabs>
        <w:ind w:left="6870" w:hanging="180"/>
      </w:pPr>
      <w:rPr>
        <w:rFonts w:cs="Times New Roman"/>
      </w:rPr>
    </w:lvl>
  </w:abstractNum>
  <w:abstractNum w:abstractNumId="2" w15:restartNumberingAfterBreak="0">
    <w:nsid w:val="4BFD7F1E"/>
    <w:multiLevelType w:val="hybridMultilevel"/>
    <w:tmpl w:val="F356C2C2"/>
    <w:lvl w:ilvl="0" w:tplc="04180001">
      <w:start w:val="1"/>
      <w:numFmt w:val="bullet"/>
      <w:lvlText w:val=""/>
      <w:lvlJc w:val="left"/>
      <w:pPr>
        <w:ind w:left="502" w:hanging="360"/>
      </w:pPr>
      <w:rPr>
        <w:rFonts w:ascii="Symbol" w:hAnsi="Symbol"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7E6A7377"/>
    <w:multiLevelType w:val="hybridMultilevel"/>
    <w:tmpl w:val="D89201F2"/>
    <w:lvl w:ilvl="0" w:tplc="CA9AF876">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E7"/>
    <w:rsid w:val="006401C3"/>
    <w:rsid w:val="00870335"/>
    <w:rsid w:val="008C5D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73DC6"/>
  <w15:chartTrackingRefBased/>
  <w15:docId w15:val="{4A8E057F-4C54-4839-A130-7DCA9A1E0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5D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5D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f.gov.md/ro/datoria-sectorului-public/oficiul" TargetMode="External"/><Relationship Id="rId5" Type="http://schemas.openxmlformats.org/officeDocument/2006/relationships/hyperlink" Target="mailto:office@winemoldova.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1749</Words>
  <Characters>10150</Characters>
  <Application>Microsoft Office Word</Application>
  <DocSecurity>0</DocSecurity>
  <Lines>84</Lines>
  <Paragraphs>23</Paragraphs>
  <ScaleCrop>false</ScaleCrop>
  <Company/>
  <LinksUpToDate>false</LinksUpToDate>
  <CharactersWithSpaces>11876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Jurminschi</dc:creator>
  <cp:keywords/>
  <dc:description/>
  <cp:lastModifiedBy>Veronica Jurminschi</cp:lastModifiedBy>
  <cp:revision>1</cp:revision>
  <dcterms:created xsi:type="dcterms:W3CDTF">2022-08-04T13:24:00Z</dcterms:created>
  <dcterms:modified xsi:type="dcterms:W3CDTF">2022-08-04T13:25:00Z</dcterms:modified>
</cp:coreProperties>
</file>